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designed for organizations seeking </w:t>
      </w:r>
      <w:r w:rsidDel="00000000" w:rsidR="00000000" w:rsidRPr="00000000">
        <w:rPr>
          <w:b w:val="1"/>
          <w:rtl w:val="0"/>
        </w:rPr>
        <w:t xml:space="preserve">to comply with the New Jersey Data Privacy Act (NJDPA).</w:t>
      </w:r>
      <w:r w:rsidDel="00000000" w:rsidR="00000000" w:rsidRPr="00000000">
        <w:rPr>
          <w:rtl w:val="0"/>
        </w:rPr>
        <w:t xml:space="preserve"> You should adapt or expand each section to match your data environment, internal policies, and risk management strategies.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qm6vpprlondl" w:id="0"/>
      <w:bookmarkEnd w:id="0"/>
      <w:r w:rsidDel="00000000" w:rsidR="00000000" w:rsidRPr="00000000">
        <w:rPr>
          <w:b w:val="1"/>
          <w:sz w:val="34"/>
          <w:szCs w:val="34"/>
          <w:rtl w:val="0"/>
        </w:rPr>
        <w:t xml:space="preserve"> Table of Contents</w:t>
      </w:r>
    </w:p>
    <w:p w:rsidR="00000000" w:rsidDel="00000000" w:rsidP="00000000" w:rsidRDefault="00000000" w:rsidRPr="00000000" w14:paraId="00000004">
      <w:pPr>
        <w:numPr>
          <w:ilvl w:val="0"/>
          <w:numId w:val="40"/>
        </w:numPr>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New Jersey Data Privacy Act (NJDPA)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40"/>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NJDPA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40"/>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0"/>
        </w:numPr>
        <w:ind w:left="720" w:hanging="360"/>
        <w:rPr>
          <w:b w:val="1"/>
        </w:rPr>
      </w:pPr>
      <w:r w:rsidDel="00000000" w:rsidR="00000000" w:rsidRPr="00000000">
        <w:rPr>
          <w:b w:val="1"/>
          <w:rtl w:val="0"/>
        </w:rPr>
        <w:t xml:space="preserve">Implementation and Project Delivery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0"/>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NJDPA/Consumer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40"/>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40"/>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NJDPA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40"/>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40"/>
        </w:numPr>
        <w:ind w:left="720" w:hanging="360"/>
        <w:rPr/>
      </w:pPr>
      <w:r w:rsidDel="00000000" w:rsidR="00000000" w:rsidRPr="00000000">
        <w:rPr>
          <w:b w:val="1"/>
          <w:rtl w:val="0"/>
        </w:rPr>
        <w:t xml:space="preserve">Legal and Contractual Considerations </w:t>
      </w:r>
      <w:r w:rsidDel="00000000" w:rsidR="00000000" w:rsidRPr="00000000">
        <w:rPr>
          <w:rtl w:val="0"/>
        </w:rPr>
        <w:t xml:space="preserve">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40"/>
        </w:numPr>
        <w:ind w:left="720" w:hanging="360"/>
        <w:rPr/>
      </w:pPr>
      <w:r w:rsidDel="00000000" w:rsidR="00000000" w:rsidRPr="00000000">
        <w:rPr>
          <w:b w:val="1"/>
          <w:rtl w:val="0"/>
        </w:rPr>
        <w:t xml:space="preserve">Appendices (Optional)</w:t>
      </w:r>
      <w:r w:rsidDel="00000000" w:rsidR="00000000" w:rsidRPr="00000000">
        <w:rPr>
          <w:rtl w:val="0"/>
        </w:rPr>
        <w:t xml:space="preserve">  </w:t>
      </w:r>
    </w:p>
    <w:p w:rsidR="00000000" w:rsidDel="00000000" w:rsidP="00000000" w:rsidRDefault="00000000" w:rsidRPr="00000000" w14:paraId="0000003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rPr>
          <w:b w:val="1"/>
          <w:sz w:val="34"/>
          <w:szCs w:val="34"/>
        </w:rPr>
      </w:pPr>
      <w:bookmarkStart w:colFirst="0" w:colLast="0" w:name="_xmn86z5lla4l" w:id="1"/>
      <w:bookmarkEnd w:id="1"/>
      <w:r w:rsidDel="00000000" w:rsidR="00000000" w:rsidRPr="00000000">
        <w:rPr>
          <w:b w:val="1"/>
          <w:sz w:val="34"/>
          <w:szCs w:val="34"/>
          <w:rtl w:val="0"/>
        </w:rPr>
        <w:t xml:space="preserve">1. Introduction and Overview</w:t>
      </w:r>
    </w:p>
    <w:p w:rsidR="00000000" w:rsidDel="00000000" w:rsidP="00000000" w:rsidRDefault="00000000" w:rsidRPr="00000000" w14:paraId="0000003F">
      <w:pPr>
        <w:pStyle w:val="Heading3"/>
        <w:rPr>
          <w:b w:val="1"/>
          <w:color w:val="000000"/>
          <w:sz w:val="26"/>
          <w:szCs w:val="26"/>
        </w:rPr>
      </w:pPr>
      <w:bookmarkStart w:colFirst="0" w:colLast="0" w:name="_zfld9jjbd493"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40">
      <w:pPr>
        <w:rPr/>
      </w:pPr>
      <w:r w:rsidDel="00000000" w:rsidR="00000000" w:rsidRPr="00000000">
        <w:rPr>
          <w:rtl w:val="0"/>
        </w:rPr>
        <w:t xml:space="preserve">The purpose of this RFP is to obtain a data privacy and security solution that ensures ongoing compliance with the New Jersey Data Privacy Act (NJDPA). The solution should deliver agentless real-time data discovery, consumer rights automation, continuous threat monitoring, and incident response, protecting the personal data of New Jersey residents effectively.</w:t>
      </w:r>
    </w:p>
    <w:p w:rsidR="00000000" w:rsidDel="00000000" w:rsidP="00000000" w:rsidRDefault="00000000" w:rsidRPr="00000000" w14:paraId="00000041">
      <w:pPr>
        <w:pStyle w:val="Heading3"/>
        <w:rPr>
          <w:b w:val="1"/>
          <w:color w:val="000000"/>
          <w:sz w:val="26"/>
          <w:szCs w:val="26"/>
        </w:rPr>
      </w:pPr>
      <w:bookmarkStart w:colFirst="0" w:colLast="0" w:name="_tkt7a246ytx3" w:id="3"/>
      <w:bookmarkEnd w:id="3"/>
      <w:r w:rsidDel="00000000" w:rsidR="00000000" w:rsidRPr="00000000">
        <w:rPr>
          <w:b w:val="1"/>
          <w:color w:val="000000"/>
          <w:sz w:val="26"/>
          <w:szCs w:val="26"/>
          <w:rtl w:val="0"/>
        </w:rPr>
        <w:t xml:space="preserve">1.2 Background on the New Jersey Data Privacy Act (NJDPA)</w:t>
      </w:r>
    </w:p>
    <w:p w:rsidR="00000000" w:rsidDel="00000000" w:rsidP="00000000" w:rsidRDefault="00000000" w:rsidRPr="00000000" w14:paraId="00000042">
      <w:pPr>
        <w:spacing w:before="200" w:lineRule="auto"/>
        <w:rPr/>
      </w:pPr>
      <w:r w:rsidDel="00000000" w:rsidR="00000000" w:rsidRPr="00000000">
        <w:rPr>
          <w:rtl w:val="0"/>
        </w:rPr>
        <w:t xml:space="preserve">NJDPA imposes obligations on organizations handling personal information of New Jersey residents:</w:t>
      </w:r>
    </w:p>
    <w:p w:rsidR="00000000" w:rsidDel="00000000" w:rsidP="00000000" w:rsidRDefault="00000000" w:rsidRPr="00000000" w14:paraId="00000043">
      <w:pPr>
        <w:numPr>
          <w:ilvl w:val="0"/>
          <w:numId w:val="25"/>
        </w:numPr>
        <w:spacing w:before="200" w:lineRule="auto"/>
        <w:ind w:left="720" w:hanging="360"/>
        <w:rPr>
          <w:u w:val="none"/>
        </w:rPr>
      </w:pPr>
      <w:r w:rsidDel="00000000" w:rsidR="00000000" w:rsidRPr="00000000">
        <w:rPr>
          <w:b w:val="1"/>
          <w:rtl w:val="0"/>
        </w:rPr>
        <w:t xml:space="preserve">Consumer Rights: </w:t>
      </w:r>
      <w:r w:rsidDel="00000000" w:rsidR="00000000" w:rsidRPr="00000000">
        <w:rPr>
          <w:rtl w:val="0"/>
        </w:rPr>
        <w:t xml:space="preserve">Access, correction, deletion of personal data, plus opt-out provisions (e.g., data sales, targeted ads).  </w:t>
      </w:r>
    </w:p>
    <w:p w:rsidR="00000000" w:rsidDel="00000000" w:rsidP="00000000" w:rsidRDefault="00000000" w:rsidRPr="00000000" w14:paraId="00000044">
      <w:pPr>
        <w:numPr>
          <w:ilvl w:val="0"/>
          <w:numId w:val="25"/>
        </w:numPr>
        <w:ind w:left="720" w:hanging="360"/>
        <w:rPr>
          <w:u w:val="none"/>
        </w:rPr>
      </w:pPr>
      <w:r w:rsidDel="00000000" w:rsidR="00000000" w:rsidRPr="00000000">
        <w:rPr>
          <w:b w:val="1"/>
          <w:rtl w:val="0"/>
        </w:rPr>
        <w:t xml:space="preserve">Data Minimization:</w:t>
      </w:r>
      <w:r w:rsidDel="00000000" w:rsidR="00000000" w:rsidRPr="00000000">
        <w:rPr>
          <w:rtl w:val="0"/>
        </w:rPr>
        <w:t xml:space="preserve"> Collecting, using, or storing only the minimal personal data required for lawful, disclosed purposes.  </w:t>
      </w:r>
    </w:p>
    <w:p w:rsidR="00000000" w:rsidDel="00000000" w:rsidP="00000000" w:rsidRDefault="00000000" w:rsidRPr="00000000" w14:paraId="00000045">
      <w:pPr>
        <w:numPr>
          <w:ilvl w:val="0"/>
          <w:numId w:val="25"/>
        </w:numPr>
        <w:ind w:left="720" w:hanging="360"/>
        <w:rPr>
          <w:u w:val="none"/>
        </w:rPr>
      </w:pPr>
      <w:r w:rsidDel="00000000" w:rsidR="00000000" w:rsidRPr="00000000">
        <w:rPr>
          <w:b w:val="1"/>
          <w:rtl w:val="0"/>
        </w:rPr>
        <w:t xml:space="preserve">Security Measures:</w:t>
      </w:r>
      <w:r w:rsidDel="00000000" w:rsidR="00000000" w:rsidRPr="00000000">
        <w:rPr>
          <w:rtl w:val="0"/>
        </w:rPr>
        <w:t xml:space="preserve"> Ongoing risk assessments, implementing reasonable security controls, and rapid detection of data misuse.  </w:t>
      </w:r>
    </w:p>
    <w:p w:rsidR="00000000" w:rsidDel="00000000" w:rsidP="00000000" w:rsidRDefault="00000000" w:rsidRPr="00000000" w14:paraId="00000046">
      <w:pPr>
        <w:numPr>
          <w:ilvl w:val="0"/>
          <w:numId w:val="25"/>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Informing affected consumers (and possibly regulators) of breaches involving personal data within statutory deadlines.</w:t>
      </w:r>
    </w:p>
    <w:p w:rsidR="00000000" w:rsidDel="00000000" w:rsidP="00000000" w:rsidRDefault="00000000" w:rsidRPr="00000000" w14:paraId="00000047">
      <w:pPr>
        <w:pStyle w:val="Heading3"/>
        <w:rPr>
          <w:b w:val="1"/>
          <w:color w:val="000000"/>
          <w:sz w:val="26"/>
          <w:szCs w:val="26"/>
        </w:rPr>
      </w:pPr>
      <w:bookmarkStart w:colFirst="0" w:colLast="0" w:name="_rahx9w3o93lj"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8">
      <w:pPr>
        <w:spacing w:before="200" w:lineRule="auto"/>
        <w:rPr/>
      </w:pPr>
      <w:r w:rsidDel="00000000" w:rsidR="00000000" w:rsidRPr="00000000">
        <w:rPr>
          <w:rtl w:val="0"/>
        </w:rPr>
        <w:t xml:space="preserve">We handle diverse personal data across:</w:t>
      </w:r>
    </w:p>
    <w:p w:rsidR="00000000" w:rsidDel="00000000" w:rsidP="00000000" w:rsidRDefault="00000000" w:rsidRPr="00000000" w14:paraId="00000049">
      <w:pPr>
        <w:numPr>
          <w:ilvl w:val="0"/>
          <w:numId w:val="36"/>
        </w:numPr>
        <w:spacing w:before="200" w:lineRule="auto"/>
        <w:ind w:left="720" w:hanging="360"/>
        <w:rPr>
          <w:u w:val="none"/>
        </w:rPr>
      </w:pPr>
      <w:r w:rsidDel="00000000" w:rsidR="00000000" w:rsidRPr="00000000">
        <w:rPr>
          <w:b w:val="1"/>
          <w:rtl w:val="0"/>
        </w:rPr>
        <w:t xml:space="preserve">IT Ecosystems:</w:t>
      </w:r>
      <w:r w:rsidDel="00000000" w:rsidR="00000000" w:rsidRPr="00000000">
        <w:rPr>
          <w:rtl w:val="0"/>
        </w:rPr>
        <w:t xml:space="preserve"> On-prem data centers, cloud services, SaaS platforms.  </w:t>
      </w:r>
    </w:p>
    <w:p w:rsidR="00000000" w:rsidDel="00000000" w:rsidP="00000000" w:rsidRDefault="00000000" w:rsidRPr="00000000" w14:paraId="0000004A">
      <w:pPr>
        <w:numPr>
          <w:ilvl w:val="0"/>
          <w:numId w:val="36"/>
        </w:numPr>
        <w:ind w:left="720" w:hanging="360"/>
        <w:rPr>
          <w:u w:val="none"/>
        </w:rPr>
      </w:pPr>
      <w:r w:rsidDel="00000000" w:rsidR="00000000" w:rsidRPr="00000000">
        <w:rPr>
          <w:b w:val="1"/>
          <w:rtl w:val="0"/>
        </w:rPr>
        <w:t xml:space="preserve">Third-Party Integrations:</w:t>
      </w:r>
      <w:r w:rsidDel="00000000" w:rsidR="00000000" w:rsidRPr="00000000">
        <w:rPr>
          <w:rtl w:val="0"/>
        </w:rPr>
        <w:t xml:space="preserve"> Vendors or partner solutions with partial or full access to New Jersey residents’ data.  </w:t>
      </w:r>
    </w:p>
    <w:p w:rsidR="00000000" w:rsidDel="00000000" w:rsidP="00000000" w:rsidRDefault="00000000" w:rsidRPr="00000000" w14:paraId="0000004B">
      <w:pPr>
        <w:numPr>
          <w:ilvl w:val="0"/>
          <w:numId w:val="36"/>
        </w:numPr>
        <w:ind w:left="720" w:hanging="360"/>
        <w:rPr>
          <w:u w:val="none"/>
        </w:rPr>
      </w:pPr>
      <w:r w:rsidDel="00000000" w:rsidR="00000000" w:rsidRPr="00000000">
        <w:rPr>
          <w:b w:val="1"/>
          <w:rtl w:val="0"/>
        </w:rPr>
        <w:t xml:space="preserve">Legacy or IoT:</w:t>
      </w:r>
      <w:r w:rsidDel="00000000" w:rsidR="00000000" w:rsidRPr="00000000">
        <w:rPr>
          <w:rtl w:val="0"/>
        </w:rPr>
        <w:t xml:space="preserve"> Some older applications or device-based data collection requiring specialized scanning approaches.</w:t>
      </w:r>
    </w:p>
    <w:p w:rsidR="00000000" w:rsidDel="00000000" w:rsidP="00000000" w:rsidRDefault="00000000" w:rsidRPr="00000000" w14:paraId="0000004C">
      <w:pPr>
        <w:spacing w:before="200" w:lineRule="auto"/>
        <w:rPr/>
      </w:pPr>
      <w:r w:rsidDel="00000000" w:rsidR="00000000" w:rsidRPr="00000000">
        <w:rPr>
          <w:rtl w:val="0"/>
        </w:rPr>
        <w:t xml:space="preserve">Main challenges:</w:t>
      </w:r>
    </w:p>
    <w:p w:rsidR="00000000" w:rsidDel="00000000" w:rsidP="00000000" w:rsidRDefault="00000000" w:rsidRPr="00000000" w14:paraId="0000004D">
      <w:pPr>
        <w:numPr>
          <w:ilvl w:val="0"/>
          <w:numId w:val="12"/>
        </w:numPr>
        <w:spacing w:before="200" w:lineRule="auto"/>
        <w:ind w:left="720" w:hanging="360"/>
        <w:rPr>
          <w:u w:val="none"/>
        </w:rPr>
      </w:pPr>
      <w:r w:rsidDel="00000000" w:rsidR="00000000" w:rsidRPr="00000000">
        <w:rPr>
          <w:b w:val="1"/>
          <w:rtl w:val="0"/>
        </w:rPr>
        <w:t xml:space="preserve">Siloed Data: </w:t>
      </w:r>
      <w:r w:rsidDel="00000000" w:rsidR="00000000" w:rsidRPr="00000000">
        <w:rPr>
          <w:rtl w:val="0"/>
        </w:rPr>
        <w:t xml:space="preserve">Limited unified data visibility, partial oversight over older or disconnected systems.  </w:t>
      </w:r>
    </w:p>
    <w:p w:rsidR="00000000" w:rsidDel="00000000" w:rsidP="00000000" w:rsidRDefault="00000000" w:rsidRPr="00000000" w14:paraId="0000004E">
      <w:pPr>
        <w:numPr>
          <w:ilvl w:val="0"/>
          <w:numId w:val="12"/>
        </w:numPr>
        <w:ind w:left="720" w:hanging="360"/>
        <w:rPr>
          <w:u w:val="none"/>
        </w:rPr>
      </w:pPr>
      <w:r w:rsidDel="00000000" w:rsidR="00000000" w:rsidRPr="00000000">
        <w:rPr>
          <w:b w:val="1"/>
          <w:rtl w:val="0"/>
        </w:rPr>
        <w:t xml:space="preserve">Manual Consumer Requests:</w:t>
      </w:r>
      <w:r w:rsidDel="00000000" w:rsidR="00000000" w:rsidRPr="00000000">
        <w:rPr>
          <w:rtl w:val="0"/>
        </w:rPr>
        <w:t xml:space="preserve"> Inefficient processes for verifying identities and locating relevant personal data.  </w:t>
      </w:r>
    </w:p>
    <w:p w:rsidR="00000000" w:rsidDel="00000000" w:rsidP="00000000" w:rsidRDefault="00000000" w:rsidRPr="00000000" w14:paraId="0000004F">
      <w:pPr>
        <w:numPr>
          <w:ilvl w:val="0"/>
          <w:numId w:val="12"/>
        </w:numPr>
        <w:ind w:left="720" w:hanging="360"/>
        <w:rPr>
          <w:u w:val="none"/>
        </w:rPr>
      </w:pPr>
      <w:r w:rsidDel="00000000" w:rsidR="00000000" w:rsidRPr="00000000">
        <w:rPr>
          <w:b w:val="1"/>
          <w:rtl w:val="0"/>
        </w:rPr>
        <w:t xml:space="preserve">Regulatory Complexity: </w:t>
      </w:r>
      <w:r w:rsidDel="00000000" w:rsidR="00000000" w:rsidRPr="00000000">
        <w:rPr>
          <w:rtl w:val="0"/>
        </w:rPr>
        <w:t xml:space="preserve">Potential overlap with other privacy laws beyond NJDPA, requiring robust compliance frameworks.  </w:t>
      </w:r>
    </w:p>
    <w:p w:rsidR="00000000" w:rsidDel="00000000" w:rsidP="00000000" w:rsidRDefault="00000000" w:rsidRPr="00000000" w14:paraId="00000050">
      <w:pPr>
        <w:numPr>
          <w:ilvl w:val="0"/>
          <w:numId w:val="12"/>
        </w:numPr>
        <w:ind w:left="720" w:hanging="360"/>
        <w:rPr>
          <w:u w:val="none"/>
        </w:rPr>
      </w:pPr>
      <w:r w:rsidDel="00000000" w:rsidR="00000000" w:rsidRPr="00000000">
        <w:rPr>
          <w:b w:val="1"/>
          <w:rtl w:val="0"/>
        </w:rPr>
        <w:t xml:space="preserve">Lack of Continuous Monitoring</w:t>
      </w:r>
      <w:r w:rsidDel="00000000" w:rsidR="00000000" w:rsidRPr="00000000">
        <w:rPr>
          <w:rtl w:val="0"/>
        </w:rPr>
        <w:t xml:space="preserve">: Difficulty detecting real-time anomalies or potential exfiltration threatening timely breach responses.</w:t>
      </w:r>
    </w:p>
    <w:p w:rsidR="00000000" w:rsidDel="00000000" w:rsidP="00000000" w:rsidRDefault="00000000" w:rsidRPr="00000000" w14:paraId="00000051">
      <w:pPr>
        <w:pStyle w:val="Heading3"/>
        <w:rPr>
          <w:b w:val="1"/>
          <w:color w:val="000000"/>
          <w:sz w:val="26"/>
          <w:szCs w:val="26"/>
        </w:rPr>
      </w:pPr>
      <w:bookmarkStart w:colFirst="0" w:colLast="0" w:name="_hljdwb4fq5la"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2">
      <w:pPr>
        <w:numPr>
          <w:ilvl w:val="0"/>
          <w:numId w:val="15"/>
        </w:numPr>
        <w:spacing w:before="200" w:lineRule="auto"/>
        <w:ind w:left="720" w:hanging="360"/>
        <w:rPr>
          <w:u w:val="none"/>
        </w:rPr>
      </w:pPr>
      <w:r w:rsidDel="00000000" w:rsidR="00000000" w:rsidRPr="00000000">
        <w:rPr>
          <w:b w:val="1"/>
          <w:rtl w:val="0"/>
        </w:rPr>
        <w:t xml:space="preserve">Complete Personal Data Inventory:</w:t>
      </w:r>
      <w:r w:rsidDel="00000000" w:rsidR="00000000" w:rsidRPr="00000000">
        <w:rPr>
          <w:rtl w:val="0"/>
        </w:rPr>
        <w:t xml:space="preserve"> Achieve continuous, agentless scanning across relevant repositories, maintaining an accurate map of personal data usage.  </w:t>
      </w:r>
    </w:p>
    <w:p w:rsidR="00000000" w:rsidDel="00000000" w:rsidP="00000000" w:rsidRDefault="00000000" w:rsidRPr="00000000" w14:paraId="00000053">
      <w:pPr>
        <w:numPr>
          <w:ilvl w:val="0"/>
          <w:numId w:val="15"/>
        </w:numPr>
        <w:ind w:left="720" w:hanging="360"/>
        <w:rPr>
          <w:u w:val="none"/>
        </w:rPr>
      </w:pPr>
      <w:r w:rsidDel="00000000" w:rsidR="00000000" w:rsidRPr="00000000">
        <w:rPr>
          <w:b w:val="1"/>
          <w:rtl w:val="0"/>
        </w:rPr>
        <w:t xml:space="preserve">Efficient Consumer Rights Handling: </w:t>
      </w:r>
      <w:r w:rsidDel="00000000" w:rsidR="00000000" w:rsidRPr="00000000">
        <w:rPr>
          <w:rtl w:val="0"/>
        </w:rPr>
        <w:t xml:space="preserve">Tools or integrations that swiftly fulfill data subject requests (DSRs), including access, deletion, or correction, within mandated timeframes.  </w:t>
      </w:r>
    </w:p>
    <w:p w:rsidR="00000000" w:rsidDel="00000000" w:rsidP="00000000" w:rsidRDefault="00000000" w:rsidRPr="00000000" w14:paraId="00000054">
      <w:pPr>
        <w:numPr>
          <w:ilvl w:val="0"/>
          <w:numId w:val="15"/>
        </w:numPr>
        <w:ind w:left="720" w:hanging="360"/>
        <w:rPr>
          <w:u w:val="none"/>
        </w:rPr>
      </w:pPr>
      <w:r w:rsidDel="00000000" w:rsidR="00000000" w:rsidRPr="00000000">
        <w:rPr>
          <w:b w:val="1"/>
          <w:rtl w:val="0"/>
        </w:rPr>
        <w:t xml:space="preserve">Robust Security Controls: </w:t>
      </w:r>
      <w:r w:rsidDel="00000000" w:rsidR="00000000" w:rsidRPr="00000000">
        <w:rPr>
          <w:rtl w:val="0"/>
        </w:rPr>
        <w:t xml:space="preserve">Real-time threat detection, vulnerability management, and incident response aligned with NJDPA breach notifications.  </w:t>
      </w:r>
    </w:p>
    <w:p w:rsidR="00000000" w:rsidDel="00000000" w:rsidP="00000000" w:rsidRDefault="00000000" w:rsidRPr="00000000" w14:paraId="00000055">
      <w:pPr>
        <w:numPr>
          <w:ilvl w:val="0"/>
          <w:numId w:val="15"/>
        </w:numPr>
        <w:ind w:left="720" w:hanging="360"/>
        <w:rPr>
          <w:u w:val="none"/>
        </w:rPr>
      </w:pPr>
      <w:r w:rsidDel="00000000" w:rsidR="00000000" w:rsidRPr="00000000">
        <w:rPr>
          <w:b w:val="1"/>
          <w:rtl w:val="0"/>
        </w:rPr>
        <w:t xml:space="preserve">Demonstrable Compliance: </w:t>
      </w:r>
      <w:r w:rsidDel="00000000" w:rsidR="00000000" w:rsidRPr="00000000">
        <w:rPr>
          <w:rtl w:val="0"/>
        </w:rPr>
        <w:t xml:space="preserve">Consolidated dashboards, logs, and reporting to prove adherence to NJDPA obligations during internal audits or external reviews.</w:t>
      </w:r>
    </w:p>
    <w:p w:rsidR="00000000" w:rsidDel="00000000" w:rsidP="00000000" w:rsidRDefault="00000000" w:rsidRPr="00000000" w14:paraId="0000005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2"/>
        <w:rPr>
          <w:b w:val="1"/>
          <w:sz w:val="34"/>
          <w:szCs w:val="34"/>
        </w:rPr>
      </w:pPr>
      <w:bookmarkStart w:colFirst="0" w:colLast="0" w:name="_6ajaksa4mx72" w:id="6"/>
      <w:bookmarkEnd w:id="6"/>
      <w:r w:rsidDel="00000000" w:rsidR="00000000" w:rsidRPr="00000000">
        <w:rPr>
          <w:b w:val="1"/>
          <w:sz w:val="34"/>
          <w:szCs w:val="34"/>
          <w:rtl w:val="0"/>
        </w:rPr>
        <w:t xml:space="preserve">2. Scope of RFP</w:t>
      </w:r>
    </w:p>
    <w:p w:rsidR="00000000" w:rsidDel="00000000" w:rsidP="00000000" w:rsidRDefault="00000000" w:rsidRPr="00000000" w14:paraId="00000058">
      <w:pPr>
        <w:pStyle w:val="Heading3"/>
        <w:rPr>
          <w:b w:val="1"/>
          <w:color w:val="000000"/>
          <w:sz w:val="26"/>
          <w:szCs w:val="26"/>
        </w:rPr>
      </w:pPr>
      <w:bookmarkStart w:colFirst="0" w:colLast="0" w:name="_i1eyqgvn4fi"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9">
      <w:pPr>
        <w:numPr>
          <w:ilvl w:val="0"/>
          <w:numId w:val="10"/>
        </w:numPr>
        <w:spacing w:before="200" w:lineRule="auto"/>
        <w:ind w:left="720" w:hanging="360"/>
        <w:rPr>
          <w:u w:val="none"/>
        </w:rPr>
      </w:pPr>
      <w:r w:rsidDel="00000000" w:rsidR="00000000" w:rsidRPr="00000000">
        <w:rPr>
          <w:b w:val="1"/>
          <w:rtl w:val="0"/>
        </w:rPr>
        <w:t xml:space="preserve">IT Infrastructure:</w:t>
      </w:r>
      <w:r w:rsidDel="00000000" w:rsidR="00000000" w:rsidRPr="00000000">
        <w:rPr>
          <w:rtl w:val="0"/>
        </w:rPr>
        <w:t xml:space="preserve"> Servers, endpoints, network storage, cloud-based environments storing personal data.  </w:t>
      </w:r>
    </w:p>
    <w:p w:rsidR="00000000" w:rsidDel="00000000" w:rsidP="00000000" w:rsidRDefault="00000000" w:rsidRPr="00000000" w14:paraId="0000005A">
      <w:pPr>
        <w:numPr>
          <w:ilvl w:val="0"/>
          <w:numId w:val="10"/>
        </w:numPr>
        <w:ind w:left="720" w:hanging="360"/>
        <w:rPr>
          <w:u w:val="none"/>
        </w:rPr>
      </w:pPr>
      <w:r w:rsidDel="00000000" w:rsidR="00000000" w:rsidRPr="00000000">
        <w:rPr>
          <w:b w:val="1"/>
          <w:rtl w:val="0"/>
        </w:rPr>
        <w:t xml:space="preserve">Databases and File Systems:</w:t>
      </w:r>
      <w:r w:rsidDel="00000000" w:rsidR="00000000" w:rsidRPr="00000000">
        <w:rPr>
          <w:rtl w:val="0"/>
        </w:rPr>
        <w:t xml:space="preserve"> SQL/NoSQL databases, data warehouses, file shares, unstructured data repositories.  </w:t>
      </w:r>
    </w:p>
    <w:p w:rsidR="00000000" w:rsidDel="00000000" w:rsidP="00000000" w:rsidRDefault="00000000" w:rsidRPr="00000000" w14:paraId="0000005B">
      <w:pPr>
        <w:numPr>
          <w:ilvl w:val="0"/>
          <w:numId w:val="10"/>
        </w:numPr>
        <w:ind w:left="720" w:hanging="360"/>
        <w:rPr>
          <w:u w:val="none"/>
        </w:rPr>
      </w:pPr>
      <w:r w:rsidDel="00000000" w:rsidR="00000000" w:rsidRPr="00000000">
        <w:rPr>
          <w:b w:val="1"/>
          <w:rtl w:val="0"/>
        </w:rPr>
        <w:t xml:space="preserve">Third-Party Environments:</w:t>
      </w:r>
      <w:r w:rsidDel="00000000" w:rsidR="00000000" w:rsidRPr="00000000">
        <w:rPr>
          <w:rtl w:val="0"/>
        </w:rPr>
        <w:t xml:space="preserve"> Vendor or partner-managed systems integrated with our operations that may process New Jersey resident data.  </w:t>
      </w:r>
    </w:p>
    <w:p w:rsidR="00000000" w:rsidDel="00000000" w:rsidP="00000000" w:rsidRDefault="00000000" w:rsidRPr="00000000" w14:paraId="0000005C">
      <w:pPr>
        <w:numPr>
          <w:ilvl w:val="0"/>
          <w:numId w:val="10"/>
        </w:numPr>
        <w:ind w:left="720" w:hanging="360"/>
        <w:rPr>
          <w:u w:val="none"/>
        </w:rPr>
      </w:pPr>
      <w:r w:rsidDel="00000000" w:rsidR="00000000" w:rsidRPr="00000000">
        <w:rPr>
          <w:b w:val="1"/>
          <w:rtl w:val="0"/>
        </w:rPr>
        <w:t xml:space="preserve">IoT or Device Data:</w:t>
      </w:r>
      <w:r w:rsidDel="00000000" w:rsidR="00000000" w:rsidRPr="00000000">
        <w:rPr>
          <w:rtl w:val="0"/>
        </w:rPr>
        <w:t xml:space="preserve"> If relevant, logs or sensor outputs from devices capturing personal usage or location details.</w:t>
      </w:r>
    </w:p>
    <w:p w:rsidR="00000000" w:rsidDel="00000000" w:rsidP="00000000" w:rsidRDefault="00000000" w:rsidRPr="00000000" w14:paraId="0000005D">
      <w:pPr>
        <w:pStyle w:val="Heading3"/>
        <w:rPr>
          <w:b w:val="1"/>
          <w:color w:val="000000"/>
          <w:sz w:val="26"/>
          <w:szCs w:val="26"/>
        </w:rPr>
      </w:pPr>
      <w:bookmarkStart w:colFirst="0" w:colLast="0" w:name="_abwe45fwfxjd" w:id="8"/>
      <w:bookmarkEnd w:id="8"/>
      <w:r w:rsidDel="00000000" w:rsidR="00000000" w:rsidRPr="00000000">
        <w:rPr>
          <w:b w:val="1"/>
          <w:color w:val="000000"/>
          <w:sz w:val="26"/>
          <w:szCs w:val="26"/>
          <w:rtl w:val="0"/>
        </w:rPr>
        <w:t xml:space="preserve">2.2 NJDPA Compliance Obligations</w:t>
      </w:r>
    </w:p>
    <w:p w:rsidR="00000000" w:rsidDel="00000000" w:rsidP="00000000" w:rsidRDefault="00000000" w:rsidRPr="00000000" w14:paraId="0000005E">
      <w:pPr>
        <w:spacing w:before="200" w:lineRule="auto"/>
        <w:rPr/>
      </w:pPr>
      <w:r w:rsidDel="00000000" w:rsidR="00000000" w:rsidRPr="00000000">
        <w:rPr>
          <w:rtl w:val="0"/>
        </w:rPr>
        <w:t xml:space="preserve">The solution must address:</w:t>
      </w:r>
    </w:p>
    <w:p w:rsidR="00000000" w:rsidDel="00000000" w:rsidP="00000000" w:rsidRDefault="00000000" w:rsidRPr="00000000" w14:paraId="0000005F">
      <w:pPr>
        <w:numPr>
          <w:ilvl w:val="0"/>
          <w:numId w:val="9"/>
        </w:numPr>
        <w:spacing w:before="200" w:lineRule="auto"/>
        <w:ind w:left="720" w:hanging="360"/>
        <w:rPr>
          <w:u w:val="none"/>
        </w:rPr>
      </w:pPr>
      <w:r w:rsidDel="00000000" w:rsidR="00000000" w:rsidRPr="00000000">
        <w:rPr>
          <w:b w:val="1"/>
          <w:rtl w:val="0"/>
        </w:rPr>
        <w:t xml:space="preserve">Consumer Data Rights: </w:t>
      </w:r>
      <w:r w:rsidDel="00000000" w:rsidR="00000000" w:rsidRPr="00000000">
        <w:rPr>
          <w:rtl w:val="0"/>
        </w:rPr>
        <w:t xml:space="preserve">Automated or streamlined processes for data access, deletion, correction, or opt-out requests.  </w:t>
      </w:r>
    </w:p>
    <w:p w:rsidR="00000000" w:rsidDel="00000000" w:rsidP="00000000" w:rsidRDefault="00000000" w:rsidRPr="00000000" w14:paraId="00000060">
      <w:pPr>
        <w:numPr>
          <w:ilvl w:val="0"/>
          <w:numId w:val="9"/>
        </w:numPr>
        <w:ind w:left="720" w:hanging="360"/>
        <w:rPr>
          <w:u w:val="none"/>
        </w:rPr>
      </w:pPr>
      <w:r w:rsidDel="00000000" w:rsidR="00000000" w:rsidRPr="00000000">
        <w:rPr>
          <w:b w:val="1"/>
          <w:rtl w:val="0"/>
        </w:rPr>
        <w:t xml:space="preserve">Data Minimization: </w:t>
      </w:r>
      <w:r w:rsidDel="00000000" w:rsidR="00000000" w:rsidRPr="00000000">
        <w:rPr>
          <w:rtl w:val="0"/>
        </w:rPr>
        <w:t xml:space="preserve">Discovery of extraneous or outdated data, providing solutions or workflows for efficient disposal.  </w:t>
      </w:r>
    </w:p>
    <w:p w:rsidR="00000000" w:rsidDel="00000000" w:rsidP="00000000" w:rsidRDefault="00000000" w:rsidRPr="00000000" w14:paraId="00000061">
      <w:pPr>
        <w:numPr>
          <w:ilvl w:val="0"/>
          <w:numId w:val="9"/>
        </w:numPr>
        <w:ind w:left="720" w:hanging="360"/>
        <w:rPr>
          <w:u w:val="none"/>
        </w:rPr>
      </w:pPr>
      <w:r w:rsidDel="00000000" w:rsidR="00000000" w:rsidRPr="00000000">
        <w:rPr>
          <w:b w:val="1"/>
          <w:rtl w:val="0"/>
        </w:rPr>
        <w:t xml:space="preserve">Security and Incident Response:</w:t>
      </w:r>
      <w:r w:rsidDel="00000000" w:rsidR="00000000" w:rsidRPr="00000000">
        <w:rPr>
          <w:rtl w:val="0"/>
        </w:rPr>
        <w:t xml:space="preserve"> Continuous risk monitoring, detection of unauthorized data usage, rapid containment of breaches, and compliance with required notification timelines.  </w:t>
      </w:r>
    </w:p>
    <w:p w:rsidR="00000000" w:rsidDel="00000000" w:rsidP="00000000" w:rsidRDefault="00000000" w:rsidRPr="00000000" w14:paraId="00000062">
      <w:pPr>
        <w:numPr>
          <w:ilvl w:val="0"/>
          <w:numId w:val="9"/>
        </w:numPr>
        <w:ind w:left="720" w:hanging="360"/>
        <w:rPr>
          <w:u w:val="none"/>
        </w:rPr>
      </w:pPr>
      <w:r w:rsidDel="00000000" w:rsidR="00000000" w:rsidRPr="00000000">
        <w:rPr>
          <w:b w:val="1"/>
          <w:rtl w:val="0"/>
        </w:rPr>
        <w:t xml:space="preserve">Documentation and Governance:</w:t>
      </w:r>
      <w:r w:rsidDel="00000000" w:rsidR="00000000" w:rsidRPr="00000000">
        <w:rPr>
          <w:rtl w:val="0"/>
        </w:rPr>
        <w:t xml:space="preserve"> Evidence of policies, procedures, and data governance supporting NDJPA’s accountability requirements.</w:t>
      </w:r>
    </w:p>
    <w:p w:rsidR="00000000" w:rsidDel="00000000" w:rsidP="00000000" w:rsidRDefault="00000000" w:rsidRPr="00000000" w14:paraId="00000063">
      <w:pPr>
        <w:pStyle w:val="Heading3"/>
        <w:rPr>
          <w:b w:val="1"/>
          <w:color w:val="000000"/>
          <w:sz w:val="26"/>
          <w:szCs w:val="26"/>
        </w:rPr>
      </w:pPr>
      <w:bookmarkStart w:colFirst="0" w:colLast="0" w:name="_bclkgindd933"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4">
      <w:pPr>
        <w:numPr>
          <w:ilvl w:val="0"/>
          <w:numId w:val="5"/>
        </w:numPr>
        <w:spacing w:before="200" w:lineRule="auto"/>
        <w:ind w:left="720" w:hanging="360"/>
        <w:rPr>
          <w:u w:val="none"/>
        </w:rPr>
      </w:pPr>
      <w:r w:rsidDel="00000000" w:rsidR="00000000" w:rsidRPr="00000000">
        <w:rPr>
          <w:b w:val="1"/>
          <w:rtl w:val="0"/>
        </w:rPr>
        <w:t xml:space="preserve">Live Data Inventory: </w:t>
      </w:r>
      <w:r w:rsidDel="00000000" w:rsidR="00000000" w:rsidRPr="00000000">
        <w:rPr>
          <w:rtl w:val="0"/>
        </w:rPr>
        <w:t xml:space="preserve">Ongoing classification of personal data, showing location, access privileges, and associated risk levels.  </w:t>
      </w:r>
    </w:p>
    <w:p w:rsidR="00000000" w:rsidDel="00000000" w:rsidP="00000000" w:rsidRDefault="00000000" w:rsidRPr="00000000" w14:paraId="00000065">
      <w:pPr>
        <w:numPr>
          <w:ilvl w:val="0"/>
          <w:numId w:val="5"/>
        </w:numPr>
        <w:ind w:left="720" w:hanging="360"/>
        <w:rPr>
          <w:u w:val="none"/>
        </w:rPr>
      </w:pPr>
      <w:r w:rsidDel="00000000" w:rsidR="00000000" w:rsidRPr="00000000">
        <w:rPr>
          <w:b w:val="1"/>
          <w:rtl w:val="0"/>
        </w:rPr>
        <w:t xml:space="preserve">DSR Workflow Automation:</w:t>
      </w:r>
      <w:r w:rsidDel="00000000" w:rsidR="00000000" w:rsidRPr="00000000">
        <w:rPr>
          <w:rtl w:val="0"/>
        </w:rPr>
        <w:t xml:space="preserve"> Central system for verifying consumer identities, fulfilling requests, and maintaining detailed logs.  </w:t>
      </w:r>
    </w:p>
    <w:p w:rsidR="00000000" w:rsidDel="00000000" w:rsidP="00000000" w:rsidRDefault="00000000" w:rsidRPr="00000000" w14:paraId="00000066">
      <w:pPr>
        <w:numPr>
          <w:ilvl w:val="0"/>
          <w:numId w:val="5"/>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Real-time alerts, robust forensics, and streamlined compliance reporting in case of data compromise.  </w:t>
      </w:r>
    </w:p>
    <w:p w:rsidR="00000000" w:rsidDel="00000000" w:rsidP="00000000" w:rsidRDefault="00000000" w:rsidRPr="00000000" w14:paraId="00000067">
      <w:pPr>
        <w:numPr>
          <w:ilvl w:val="0"/>
          <w:numId w:val="5"/>
        </w:numPr>
        <w:ind w:left="720" w:hanging="360"/>
        <w:rPr>
          <w:u w:val="none"/>
        </w:rPr>
      </w:pPr>
      <w:r w:rsidDel="00000000" w:rsidR="00000000" w:rsidRPr="00000000">
        <w:rPr>
          <w:b w:val="1"/>
          <w:rtl w:val="0"/>
        </w:rPr>
        <w:t xml:space="preserve">Executive Dashboards: </w:t>
      </w:r>
      <w:r w:rsidDel="00000000" w:rsidR="00000000" w:rsidRPr="00000000">
        <w:rPr>
          <w:rtl w:val="0"/>
        </w:rPr>
        <w:t xml:space="preserve">High-level and granular views for compliance posture, consumer request metrics, and security incidents.</w:t>
      </w:r>
    </w:p>
    <w:p w:rsidR="00000000" w:rsidDel="00000000" w:rsidP="00000000" w:rsidRDefault="00000000" w:rsidRPr="00000000" w14:paraId="0000006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rPr>
          <w:b w:val="1"/>
          <w:sz w:val="34"/>
          <w:szCs w:val="34"/>
        </w:rPr>
      </w:pPr>
      <w:bookmarkStart w:colFirst="0" w:colLast="0" w:name="_kan03xlas7es" w:id="10"/>
      <w:bookmarkEnd w:id="10"/>
      <w:r w:rsidDel="00000000" w:rsidR="00000000" w:rsidRPr="00000000">
        <w:rPr>
          <w:b w:val="1"/>
          <w:sz w:val="34"/>
          <w:szCs w:val="34"/>
          <w:rtl w:val="0"/>
        </w:rPr>
        <w:t xml:space="preserve">3. Technical and Functional Requirements</w:t>
      </w:r>
    </w:p>
    <w:p w:rsidR="00000000" w:rsidDel="00000000" w:rsidP="00000000" w:rsidRDefault="00000000" w:rsidRPr="00000000" w14:paraId="0000006A">
      <w:pPr>
        <w:pStyle w:val="Heading3"/>
        <w:rPr>
          <w:b w:val="1"/>
          <w:color w:val="000000"/>
          <w:sz w:val="26"/>
          <w:szCs w:val="26"/>
        </w:rPr>
      </w:pPr>
      <w:bookmarkStart w:colFirst="0" w:colLast="0" w:name="_oiclpuajh8tj"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B">
      <w:pPr>
        <w:numPr>
          <w:ilvl w:val="0"/>
          <w:numId w:val="32"/>
        </w:numPr>
        <w:spacing w:before="200" w:lineRule="auto"/>
        <w:ind w:left="720" w:hanging="360"/>
        <w:rPr>
          <w:b w:val="1"/>
        </w:rPr>
      </w:pPr>
      <w:r w:rsidDel="00000000" w:rsidR="00000000" w:rsidRPr="00000000">
        <w:rPr>
          <w:b w:val="1"/>
          <w:rtl w:val="0"/>
        </w:rPr>
        <w:t xml:space="preserve">Non-Invasive Scanning  </w:t>
      </w:r>
    </w:p>
    <w:p w:rsidR="00000000" w:rsidDel="00000000" w:rsidP="00000000" w:rsidRDefault="00000000" w:rsidRPr="00000000" w14:paraId="0000006C">
      <w:pPr>
        <w:numPr>
          <w:ilvl w:val="0"/>
          <w:numId w:val="17"/>
        </w:numPr>
        <w:spacing w:after="0" w:before="200" w:lineRule="auto"/>
        <w:ind w:left="1440" w:hanging="360"/>
        <w:rPr>
          <w:u w:val="none"/>
        </w:rPr>
      </w:pPr>
      <w:r w:rsidDel="00000000" w:rsidR="00000000" w:rsidRPr="00000000">
        <w:rPr>
          <w:rtl w:val="0"/>
        </w:rPr>
        <w:t xml:space="preserve">Discover personal data across heterogeneous environments without installing local agents.  </w:t>
      </w:r>
    </w:p>
    <w:p w:rsidR="00000000" w:rsidDel="00000000" w:rsidP="00000000" w:rsidRDefault="00000000" w:rsidRPr="00000000" w14:paraId="0000006D">
      <w:pPr>
        <w:numPr>
          <w:ilvl w:val="0"/>
          <w:numId w:val="17"/>
        </w:numPr>
        <w:ind w:left="1440" w:hanging="360"/>
        <w:rPr>
          <w:u w:val="none"/>
        </w:rPr>
      </w:pPr>
      <w:r w:rsidDel="00000000" w:rsidR="00000000" w:rsidRPr="00000000">
        <w:rPr>
          <w:rtl w:val="0"/>
        </w:rPr>
        <w:t xml:space="preserve">Passive or minimal overhead scanning, preventing performance issues in sensitive or legacy systems.</w:t>
      </w:r>
    </w:p>
    <w:p w:rsidR="00000000" w:rsidDel="00000000" w:rsidP="00000000" w:rsidRDefault="00000000" w:rsidRPr="00000000" w14:paraId="0000006E">
      <w:pPr>
        <w:numPr>
          <w:ilvl w:val="0"/>
          <w:numId w:val="32"/>
        </w:numPr>
        <w:spacing w:after="0" w:before="200" w:lineRule="auto"/>
        <w:ind w:left="720" w:hanging="360"/>
        <w:rPr>
          <w:b w:val="1"/>
        </w:rPr>
      </w:pPr>
      <w:r w:rsidDel="00000000" w:rsidR="00000000" w:rsidRPr="00000000">
        <w:rPr>
          <w:b w:val="1"/>
          <w:rtl w:val="0"/>
        </w:rPr>
        <w:t xml:space="preserve">Automated Classification  </w:t>
      </w:r>
    </w:p>
    <w:p w:rsidR="00000000" w:rsidDel="00000000" w:rsidP="00000000" w:rsidRDefault="00000000" w:rsidRPr="00000000" w14:paraId="0000006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Detect personal data fields (names, SSNs, financial info, etc.), supporting custom categories mapped to NJDPA definitions.  </w:t>
      </w:r>
    </w:p>
    <w:p w:rsidR="00000000" w:rsidDel="00000000" w:rsidP="00000000" w:rsidRDefault="00000000" w:rsidRPr="00000000" w14:paraId="0000007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Label or tag data sets for risk and usage contexts.</w:t>
      </w:r>
    </w:p>
    <w:p w:rsidR="00000000" w:rsidDel="00000000" w:rsidP="00000000" w:rsidRDefault="00000000" w:rsidRPr="00000000" w14:paraId="00000071">
      <w:pPr>
        <w:numPr>
          <w:ilvl w:val="0"/>
          <w:numId w:val="32"/>
        </w:numPr>
        <w:spacing w:after="0" w:before="200" w:lineRule="auto"/>
        <w:ind w:left="720" w:hanging="360"/>
        <w:rPr>
          <w:b w:val="1"/>
        </w:rPr>
      </w:pPr>
      <w:r w:rsidDel="00000000" w:rsidR="00000000" w:rsidRPr="00000000">
        <w:rPr>
          <w:b w:val="1"/>
          <w:rtl w:val="0"/>
        </w:rPr>
        <w:t xml:space="preserve">Ongoing Inventory Updates  </w:t>
      </w:r>
    </w:p>
    <w:p w:rsidR="00000000" w:rsidDel="00000000" w:rsidP="00000000" w:rsidRDefault="00000000" w:rsidRPr="00000000" w14:paraId="0000007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or event-driven approach ensuring newly created or modified data sets are promptly recorded.</w:t>
      </w:r>
    </w:p>
    <w:p w:rsidR="00000000" w:rsidDel="00000000" w:rsidP="00000000" w:rsidRDefault="00000000" w:rsidRPr="00000000" w14:paraId="00000073">
      <w:pPr>
        <w:pStyle w:val="Heading3"/>
        <w:rPr>
          <w:b w:val="1"/>
          <w:color w:val="000000"/>
          <w:sz w:val="26"/>
          <w:szCs w:val="26"/>
        </w:rPr>
      </w:pPr>
      <w:bookmarkStart w:colFirst="0" w:colLast="0" w:name="_lt2axp4r0vuq"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4">
      <w:pPr>
        <w:numPr>
          <w:ilvl w:val="0"/>
          <w:numId w:val="18"/>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Provide or facilitate PIAs for new or high-risk data processing activities, offering recommended actions.  </w:t>
      </w:r>
    </w:p>
    <w:p w:rsidR="00000000" w:rsidDel="00000000" w:rsidP="00000000" w:rsidRDefault="00000000" w:rsidRPr="00000000" w14:paraId="0000007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Incorporate NDJPA-specific criteria to identify potential compliance gaps.</w:t>
      </w:r>
    </w:p>
    <w:p w:rsidR="00000000" w:rsidDel="00000000" w:rsidP="00000000" w:rsidRDefault="00000000" w:rsidRPr="00000000" w14:paraId="00000077">
      <w:pPr>
        <w:numPr>
          <w:ilvl w:val="0"/>
          <w:numId w:val="18"/>
        </w:numPr>
        <w:spacing w:after="0" w:before="200" w:lineRule="auto"/>
        <w:ind w:left="720" w:hanging="360"/>
        <w:rPr>
          <w:b w:val="1"/>
        </w:rPr>
      </w:pPr>
      <w:r w:rsidDel="00000000" w:rsidR="00000000" w:rsidRPr="00000000">
        <w:rPr>
          <w:b w:val="1"/>
          <w:rtl w:val="0"/>
        </w:rPr>
        <w:t xml:space="preserve">Risk-Based Scoring  </w:t>
      </w:r>
    </w:p>
    <w:p w:rsidR="00000000" w:rsidDel="00000000" w:rsidP="00000000" w:rsidRDefault="00000000" w:rsidRPr="00000000" w14:paraId="000000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Evaluate discovered data sets by sensitivity, volume, or threat exposure, issuing alerts for high-risk repositories or processes.  </w:t>
      </w:r>
    </w:p>
    <w:p w:rsidR="00000000" w:rsidDel="00000000" w:rsidP="00000000" w:rsidRDefault="00000000" w:rsidRPr="00000000" w14:paraId="000000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Prioritize recommended mitigation steps for non-compliant data retention or unprotected fields.</w:t>
      </w:r>
    </w:p>
    <w:p w:rsidR="00000000" w:rsidDel="00000000" w:rsidP="00000000" w:rsidRDefault="00000000" w:rsidRPr="00000000" w14:paraId="0000007A">
      <w:pPr>
        <w:numPr>
          <w:ilvl w:val="0"/>
          <w:numId w:val="18"/>
        </w:numPr>
        <w:spacing w:after="0" w:before="200" w:lineRule="auto"/>
        <w:ind w:left="720" w:hanging="360"/>
        <w:rPr>
          <w:b w:val="1"/>
        </w:rPr>
      </w:pPr>
      <w:r w:rsidDel="00000000" w:rsidR="00000000" w:rsidRPr="00000000">
        <w:rPr>
          <w:b w:val="1"/>
          <w:rtl w:val="0"/>
        </w:rPr>
        <w:t xml:space="preserve">Data Lifecycle  </w:t>
      </w:r>
    </w:p>
    <w:p w:rsidR="00000000" w:rsidDel="00000000" w:rsidP="00000000" w:rsidRDefault="00000000" w:rsidRPr="00000000" w14:paraId="000000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Enforce or recommend retention schedules, data minimization, or disposal aligned with documented business needs and NDJPA requirements.</w:t>
      </w:r>
    </w:p>
    <w:p w:rsidR="00000000" w:rsidDel="00000000" w:rsidP="00000000" w:rsidRDefault="00000000" w:rsidRPr="00000000" w14:paraId="0000007C">
      <w:pPr>
        <w:pStyle w:val="Heading3"/>
        <w:rPr>
          <w:b w:val="1"/>
          <w:color w:val="000000"/>
          <w:sz w:val="26"/>
          <w:szCs w:val="26"/>
        </w:rPr>
      </w:pPr>
      <w:bookmarkStart w:colFirst="0" w:colLast="0" w:name="_tgl974xxeqig"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D">
      <w:pPr>
        <w:numPr>
          <w:ilvl w:val="0"/>
          <w:numId w:val="7"/>
        </w:numPr>
        <w:spacing w:before="200" w:lineRule="auto"/>
        <w:ind w:left="720" w:hanging="360"/>
        <w:rPr>
          <w:b w:val="1"/>
        </w:rPr>
      </w:pPr>
      <w:r w:rsidDel="00000000" w:rsidR="00000000" w:rsidRPr="00000000">
        <w:rPr>
          <w:b w:val="1"/>
          <w:rtl w:val="0"/>
        </w:rPr>
        <w:t xml:space="preserve">End-to-End DSR Handling  </w:t>
      </w:r>
    </w:p>
    <w:p w:rsidR="00000000" w:rsidDel="00000000" w:rsidP="00000000" w:rsidRDefault="00000000" w:rsidRPr="00000000" w14:paraId="0000007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identity verification, data retrieval, or erasure tasks, with complete audit logs for each step.  </w:t>
      </w:r>
    </w:p>
    <w:p w:rsidR="00000000" w:rsidDel="00000000" w:rsidP="00000000" w:rsidRDefault="00000000" w:rsidRPr="00000000" w14:paraId="0000007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Time-based alerts if tasks approach or exceed NDJPA’s mandated resolution deadlines.</w:t>
      </w:r>
    </w:p>
    <w:p w:rsidR="00000000" w:rsidDel="00000000" w:rsidP="00000000" w:rsidRDefault="00000000" w:rsidRPr="00000000" w14:paraId="00000080">
      <w:pPr>
        <w:numPr>
          <w:ilvl w:val="0"/>
          <w:numId w:val="7"/>
        </w:numPr>
        <w:spacing w:after="0" w:before="200" w:lineRule="auto"/>
        <w:ind w:left="720" w:hanging="360"/>
        <w:rPr>
          <w:b w:val="1"/>
        </w:rPr>
      </w:pPr>
      <w:r w:rsidDel="00000000" w:rsidR="00000000" w:rsidRPr="00000000">
        <w:rPr>
          <w:b w:val="1"/>
          <w:rtl w:val="0"/>
        </w:rPr>
        <w:t xml:space="preserve">Consent and Preference Controls  </w:t>
      </w:r>
    </w:p>
    <w:p w:rsidR="00000000" w:rsidDel="00000000" w:rsidP="00000000" w:rsidRDefault="00000000" w:rsidRPr="00000000" w14:paraId="0000008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Track and update consumers’ opt-ins or opt-outs across multiple systems in real time (e.g., data sale, targeted ads).  </w:t>
      </w:r>
    </w:p>
    <w:p w:rsidR="00000000" w:rsidDel="00000000" w:rsidP="00000000" w:rsidRDefault="00000000" w:rsidRPr="00000000" w14:paraId="0000008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an interface or API that seamlessly propagates preference changes to integrated environments.</w:t>
      </w:r>
    </w:p>
    <w:p w:rsidR="00000000" w:rsidDel="00000000" w:rsidP="00000000" w:rsidRDefault="00000000" w:rsidRPr="00000000" w14:paraId="00000083">
      <w:pPr>
        <w:numPr>
          <w:ilvl w:val="0"/>
          <w:numId w:val="7"/>
        </w:numPr>
        <w:spacing w:after="0" w:before="200" w:lineRule="auto"/>
        <w:ind w:left="720" w:hanging="360"/>
        <w:rPr>
          <w:b w:val="1"/>
        </w:rPr>
      </w:pPr>
      <w:r w:rsidDel="00000000" w:rsidR="00000000" w:rsidRPr="00000000">
        <w:rPr>
          <w:b w:val="1"/>
          <w:rtl w:val="0"/>
        </w:rPr>
        <w:t xml:space="preserve">Scalability  </w:t>
      </w:r>
    </w:p>
    <w:p w:rsidR="00000000" w:rsidDel="00000000" w:rsidP="00000000" w:rsidRDefault="00000000" w:rsidRPr="00000000" w14:paraId="0000008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Capability to handle high volumes of consumer requests efficiently, maintaining performance even during peak periods.</w:t>
      </w:r>
    </w:p>
    <w:p w:rsidR="00000000" w:rsidDel="00000000" w:rsidP="00000000" w:rsidRDefault="00000000" w:rsidRPr="00000000" w14:paraId="00000085">
      <w:pPr>
        <w:pStyle w:val="Heading3"/>
        <w:rPr>
          <w:b w:val="1"/>
          <w:color w:val="000000"/>
          <w:sz w:val="26"/>
          <w:szCs w:val="26"/>
        </w:rPr>
      </w:pPr>
      <w:bookmarkStart w:colFirst="0" w:colLast="0" w:name="_mnp5q0bjzpik"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6">
      <w:pPr>
        <w:numPr>
          <w:ilvl w:val="0"/>
          <w:numId w:val="39"/>
        </w:numPr>
        <w:spacing w:before="200" w:lineRule="auto"/>
        <w:ind w:left="720" w:hanging="360"/>
        <w:rPr>
          <w:b w:val="1"/>
        </w:rPr>
      </w:pPr>
      <w:r w:rsidDel="00000000" w:rsidR="00000000" w:rsidRPr="00000000">
        <w:rPr>
          <w:b w:val="1"/>
          <w:rtl w:val="0"/>
        </w:rPr>
        <w:t xml:space="preserve">Threat Monitoring  </w:t>
      </w:r>
    </w:p>
    <w:p w:rsidR="00000000" w:rsidDel="00000000" w:rsidP="00000000" w:rsidRDefault="00000000" w:rsidRPr="00000000" w14:paraId="0000008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Behavior-based detection or machine learning models identifying unauthorized data access, exfiltration attempts, or abnormal usage patterns.  </w:t>
      </w:r>
    </w:p>
    <w:p w:rsidR="00000000" w:rsidDel="00000000" w:rsidP="00000000" w:rsidRDefault="00000000" w:rsidRPr="00000000" w14:paraId="0000008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existing SIEM or security orchestration tools to unify alert correlation.</w:t>
      </w:r>
    </w:p>
    <w:p w:rsidR="00000000" w:rsidDel="00000000" w:rsidP="00000000" w:rsidRDefault="00000000" w:rsidRPr="00000000" w14:paraId="00000089">
      <w:pPr>
        <w:numPr>
          <w:ilvl w:val="0"/>
          <w:numId w:val="39"/>
        </w:numPr>
        <w:spacing w:after="0" w:before="200" w:lineRule="auto"/>
        <w:ind w:left="720" w:hanging="360"/>
        <w:rPr>
          <w:b w:val="1"/>
        </w:rPr>
      </w:pPr>
      <w:r w:rsidDel="00000000" w:rsidR="00000000" w:rsidRPr="00000000">
        <w:rPr>
          <w:b w:val="1"/>
          <w:rtl w:val="0"/>
        </w:rPr>
        <w:t xml:space="preserve">Breach Response  </w:t>
      </w:r>
    </w:p>
    <w:p w:rsidR="00000000" w:rsidDel="00000000" w:rsidP="00000000" w:rsidRDefault="00000000" w:rsidRPr="00000000" w14:paraId="0000008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workflows for isolating compromised systems, capturing forensic data, and documenting impacted consumer records.  </w:t>
      </w:r>
    </w:p>
    <w:p w:rsidR="00000000" w:rsidDel="00000000" w:rsidP="00000000" w:rsidRDefault="00000000" w:rsidRPr="00000000" w14:paraId="0000008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Assistance in drafting notifications or data sets for NDJPA compliance if a data breach triggers mandated reporting.</w:t>
      </w:r>
    </w:p>
    <w:p w:rsidR="00000000" w:rsidDel="00000000" w:rsidP="00000000" w:rsidRDefault="00000000" w:rsidRPr="00000000" w14:paraId="0000008C">
      <w:pPr>
        <w:numPr>
          <w:ilvl w:val="0"/>
          <w:numId w:val="39"/>
        </w:numPr>
        <w:spacing w:after="0" w:before="200" w:lineRule="auto"/>
        <w:ind w:left="720" w:hanging="360"/>
        <w:rPr>
          <w:b w:val="1"/>
        </w:rPr>
      </w:pPr>
      <w:r w:rsidDel="00000000" w:rsidR="00000000" w:rsidRPr="00000000">
        <w:rPr>
          <w:b w:val="1"/>
          <w:rtl w:val="0"/>
        </w:rPr>
        <w:t xml:space="preserve">Forensic Logs  </w:t>
      </w:r>
    </w:p>
    <w:p w:rsidR="00000000" w:rsidDel="00000000" w:rsidP="00000000" w:rsidRDefault="00000000" w:rsidRPr="00000000" w14:paraId="0000008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tamper-resistant logs capturing user actions, device states, and data modifications to support post-incident analysis and compliance audits.</w:t>
      </w:r>
    </w:p>
    <w:p w:rsidR="00000000" w:rsidDel="00000000" w:rsidP="00000000" w:rsidRDefault="00000000" w:rsidRPr="00000000" w14:paraId="0000008E">
      <w:pPr>
        <w:pStyle w:val="Heading3"/>
        <w:rPr>
          <w:b w:val="1"/>
          <w:color w:val="000000"/>
          <w:sz w:val="26"/>
          <w:szCs w:val="26"/>
        </w:rPr>
      </w:pPr>
      <w:bookmarkStart w:colFirst="0" w:colLast="0" w:name="_mwa9agdsup7l"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8F">
      <w:pPr>
        <w:numPr>
          <w:ilvl w:val="0"/>
          <w:numId w:val="37"/>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9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Single-pane visualization of personal data flows, risk levels, open DSARs, security alerts, and compliance posture.  </w:t>
      </w:r>
    </w:p>
    <w:p w:rsidR="00000000" w:rsidDel="00000000" w:rsidP="00000000" w:rsidRDefault="00000000" w:rsidRPr="00000000" w14:paraId="0000009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Summaries for executive or board-level reporting, with detailed drill-down for privacy or security teams.</w:t>
      </w:r>
    </w:p>
    <w:p w:rsidR="00000000" w:rsidDel="00000000" w:rsidP="00000000" w:rsidRDefault="00000000" w:rsidRPr="00000000" w14:paraId="00000092">
      <w:pPr>
        <w:numPr>
          <w:ilvl w:val="0"/>
          <w:numId w:val="37"/>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Mechanisms to integrate or enforce data retention and encryption policies, role-based access, or other organizational directives.  </w:t>
      </w:r>
    </w:p>
    <w:p w:rsidR="00000000" w:rsidDel="00000000" w:rsidP="00000000" w:rsidRDefault="00000000" w:rsidRPr="00000000" w14:paraId="0000009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when data is discovered outside authorized repositories or stored beyond retention schedules.</w:t>
      </w:r>
    </w:p>
    <w:p w:rsidR="00000000" w:rsidDel="00000000" w:rsidP="00000000" w:rsidRDefault="00000000" w:rsidRPr="00000000" w14:paraId="00000095">
      <w:pPr>
        <w:numPr>
          <w:ilvl w:val="0"/>
          <w:numId w:val="37"/>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Built-in or customizable compliance reports aligned with NDJPA standards for internal audits or external regulator requests.  </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views of consumer request volumes, resolution times, and incident trends over time.</w:t>
      </w:r>
    </w:p>
    <w:p w:rsidR="00000000" w:rsidDel="00000000" w:rsidP="00000000" w:rsidRDefault="00000000" w:rsidRPr="00000000" w14:paraId="00000098">
      <w:pPr>
        <w:pStyle w:val="Heading3"/>
        <w:rPr>
          <w:b w:val="1"/>
          <w:color w:val="000000"/>
          <w:sz w:val="26"/>
          <w:szCs w:val="26"/>
        </w:rPr>
      </w:pPr>
      <w:bookmarkStart w:colFirst="0" w:colLast="0" w:name="_yeyzr94b3rch"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9">
      <w:pPr>
        <w:numPr>
          <w:ilvl w:val="0"/>
          <w:numId w:val="41"/>
        </w:numPr>
        <w:spacing w:before="200" w:lineRule="auto"/>
        <w:ind w:left="720" w:hanging="360"/>
        <w:rPr>
          <w:b w:val="1"/>
        </w:rPr>
      </w:pPr>
      <w:r w:rsidDel="00000000" w:rsidR="00000000" w:rsidRPr="00000000">
        <w:rPr>
          <w:b w:val="1"/>
          <w:rtl w:val="0"/>
        </w:rPr>
        <w:t xml:space="preserve">SIEM, SOAR, ITSM  </w:t>
      </w:r>
    </w:p>
    <w:p w:rsidR="00000000" w:rsidDel="00000000" w:rsidP="00000000" w:rsidRDefault="00000000" w:rsidRPr="00000000" w14:paraId="000000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Native or documented APIs for forwarding data classification events, incident alerts, or DSAR tasks to Splunk, ServiceNow, etc.  </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synchronization enabling automated or semi-automated threat containment, patching, or DSR escalation.</w:t>
      </w:r>
    </w:p>
    <w:p w:rsidR="00000000" w:rsidDel="00000000" w:rsidP="00000000" w:rsidRDefault="00000000" w:rsidRPr="00000000" w14:paraId="0000009C">
      <w:pPr>
        <w:numPr>
          <w:ilvl w:val="0"/>
          <w:numId w:val="41"/>
        </w:numPr>
        <w:spacing w:after="0" w:before="200" w:lineRule="auto"/>
        <w:ind w:left="720" w:hanging="360"/>
        <w:rPr>
          <w:u w:val="none"/>
        </w:rPr>
      </w:pPr>
      <w:r w:rsidDel="00000000" w:rsidR="00000000" w:rsidRPr="00000000">
        <w:rPr>
          <w:b w:val="1"/>
          <w:rtl w:val="0"/>
        </w:rPr>
        <w:t xml:space="preserve">Identity and Access Management </w:t>
      </w:r>
      <w:r w:rsidDel="00000000" w:rsidR="00000000" w:rsidRPr="00000000">
        <w:rPr>
          <w:rtl w:val="0"/>
        </w:rPr>
        <w:t xml:space="preserve"> </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identity data with device or network telemetry for robust oversight of personal data usage.  </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Detect unauthorized privileges or suspicious account escalations involving personal data.</w:t>
      </w:r>
    </w:p>
    <w:p w:rsidR="00000000" w:rsidDel="00000000" w:rsidP="00000000" w:rsidRDefault="00000000" w:rsidRPr="00000000" w14:paraId="0000009F">
      <w:pPr>
        <w:numPr>
          <w:ilvl w:val="0"/>
          <w:numId w:val="41"/>
        </w:numPr>
        <w:spacing w:after="0" w:before="200" w:lineRule="auto"/>
        <w:ind w:left="720" w:hanging="360"/>
        <w:rPr>
          <w:b w:val="1"/>
        </w:rPr>
      </w:pPr>
      <w:r w:rsidDel="00000000" w:rsidR="00000000" w:rsidRPr="00000000">
        <w:rPr>
          <w:b w:val="1"/>
          <w:rtl w:val="0"/>
        </w:rPr>
        <w:t xml:space="preserve">Cloud, Containers, and Microservices  </w:t>
      </w:r>
    </w:p>
    <w:p w:rsidR="00000000" w:rsidDel="00000000" w:rsidP="00000000" w:rsidRDefault="00000000" w:rsidRPr="00000000" w14:paraId="000000A0">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Scanning ephemeral container environments (Docker, Kubernetes) to identify personal data usage.  </w:t>
      </w:r>
    </w:p>
    <w:p w:rsidR="00000000" w:rsidDel="00000000" w:rsidP="00000000" w:rsidRDefault="00000000" w:rsidRPr="00000000" w14:paraId="000000A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data security configurations or usage patterns in multi-cloud or dynamic microservices setups.</w:t>
      </w:r>
    </w:p>
    <w:p w:rsidR="00000000" w:rsidDel="00000000" w:rsidP="00000000" w:rsidRDefault="00000000" w:rsidRPr="00000000" w14:paraId="000000A2">
      <w:pPr>
        <w:pStyle w:val="Heading3"/>
        <w:rPr>
          <w:b w:val="1"/>
          <w:color w:val="000000"/>
          <w:sz w:val="26"/>
          <w:szCs w:val="26"/>
        </w:rPr>
      </w:pPr>
      <w:bookmarkStart w:colFirst="0" w:colLast="0" w:name="_v67we4z2w248"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3">
      <w:pPr>
        <w:numPr>
          <w:ilvl w:val="0"/>
          <w:numId w:val="33"/>
        </w:numPr>
        <w:spacing w:before="200" w:lineRule="auto"/>
        <w:ind w:left="720" w:hanging="360"/>
        <w:rPr>
          <w:b w:val="1"/>
        </w:rPr>
      </w:pPr>
      <w:r w:rsidDel="00000000" w:rsidR="00000000" w:rsidRPr="00000000">
        <w:rPr>
          <w:b w:val="1"/>
          <w:rtl w:val="0"/>
        </w:rPr>
        <w:t xml:space="preserve">Performance  </w:t>
      </w:r>
    </w:p>
    <w:p w:rsidR="00000000" w:rsidDel="00000000" w:rsidP="00000000" w:rsidRDefault="00000000" w:rsidRPr="00000000" w14:paraId="000000A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that handles broad data scanning, high concurrency, or large volume environments seamlessly.  </w:t>
      </w:r>
    </w:p>
    <w:p w:rsidR="00000000" w:rsidDel="00000000" w:rsidP="00000000" w:rsidRDefault="00000000" w:rsidRPr="00000000" w14:paraId="000000A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scaling guidelines to accommodate organizational growth or multi-region expansions.</w:t>
      </w:r>
    </w:p>
    <w:p w:rsidR="00000000" w:rsidDel="00000000" w:rsidP="00000000" w:rsidRDefault="00000000" w:rsidRPr="00000000" w14:paraId="000000A6">
      <w:pPr>
        <w:numPr>
          <w:ilvl w:val="0"/>
          <w:numId w:val="33"/>
        </w:numPr>
        <w:spacing w:after="0" w:before="200" w:lineRule="auto"/>
        <w:ind w:left="720" w:hanging="360"/>
        <w:rPr>
          <w:u w:val="none"/>
        </w:rPr>
      </w:pPr>
      <w:r w:rsidDel="00000000" w:rsidR="00000000" w:rsidRPr="00000000">
        <w:rPr>
          <w:b w:val="1"/>
          <w:rtl w:val="0"/>
        </w:rPr>
        <w:t xml:space="preserve">Modular Upgrades </w:t>
      </w:r>
      <w:r w:rsidDel="00000000" w:rsidR="00000000" w:rsidRPr="00000000">
        <w:rPr>
          <w:rtl w:val="0"/>
        </w:rPr>
        <w:t xml:space="preserve"> </w:t>
      </w:r>
    </w:p>
    <w:p w:rsidR="00000000" w:rsidDel="00000000" w:rsidP="00000000" w:rsidRDefault="00000000" w:rsidRPr="00000000" w14:paraId="000000A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Support advanced analytics modules, more sophisticated ML detection, or expansions for new privacy laws as needed.  </w:t>
      </w:r>
    </w:p>
    <w:p w:rsidR="00000000" w:rsidDel="00000000" w:rsidP="00000000" w:rsidRDefault="00000000" w:rsidRPr="00000000" w14:paraId="000000A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Regular updates </w:t>
      </w:r>
      <w:r w:rsidDel="00000000" w:rsidR="00000000" w:rsidRPr="00000000">
        <w:rPr>
          <w:rtl w:val="0"/>
        </w:rPr>
        <w:t xml:space="preserve">ensuring</w:t>
      </w:r>
      <w:r w:rsidDel="00000000" w:rsidR="00000000" w:rsidRPr="00000000">
        <w:rPr>
          <w:rtl w:val="0"/>
        </w:rPr>
        <w:t xml:space="preserve"> coverage of new data technologies or emergent threat vectors.</w:t>
      </w:r>
    </w:p>
    <w:p w:rsidR="00000000" w:rsidDel="00000000" w:rsidP="00000000" w:rsidRDefault="00000000" w:rsidRPr="00000000" w14:paraId="000000A9">
      <w:pPr>
        <w:numPr>
          <w:ilvl w:val="0"/>
          <w:numId w:val="33"/>
        </w:numPr>
        <w:spacing w:after="0" w:before="200" w:lineRule="auto"/>
        <w:ind w:left="720" w:hanging="360"/>
        <w:rPr>
          <w:b w:val="1"/>
        </w:rPr>
      </w:pPr>
      <w:r w:rsidDel="00000000" w:rsidR="00000000" w:rsidRPr="00000000">
        <w:rPr>
          <w:b w:val="1"/>
          <w:rtl w:val="0"/>
        </w:rPr>
        <w:t xml:space="preserve">Global or Multi-Site  </w:t>
      </w:r>
    </w:p>
    <w:p w:rsidR="00000000" w:rsidDel="00000000" w:rsidP="00000000" w:rsidRDefault="00000000" w:rsidRPr="00000000" w14:paraId="000000A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 management console for multi-site, multinational, or merged organizations requiring consolidated NDJPA compliance oversight.</w:t>
      </w:r>
    </w:p>
    <w:p w:rsidR="00000000" w:rsidDel="00000000" w:rsidP="00000000" w:rsidRDefault="00000000" w:rsidRPr="00000000" w14:paraId="000000A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2"/>
        <w:rPr>
          <w:b w:val="1"/>
          <w:sz w:val="34"/>
          <w:szCs w:val="34"/>
        </w:rPr>
      </w:pPr>
      <w:bookmarkStart w:colFirst="0" w:colLast="0" w:name="_mwx251wvnklu"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D">
      <w:pPr>
        <w:pStyle w:val="Heading3"/>
        <w:rPr>
          <w:b w:val="1"/>
          <w:color w:val="000000"/>
          <w:sz w:val="26"/>
          <w:szCs w:val="26"/>
        </w:rPr>
      </w:pPr>
      <w:bookmarkStart w:colFirst="0" w:colLast="0" w:name="_896vv01x02qs"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AE">
      <w:pPr>
        <w:numPr>
          <w:ilvl w:val="0"/>
          <w:numId w:val="19"/>
        </w:numPr>
        <w:spacing w:before="200" w:lineRule="auto"/>
        <w:ind w:left="720" w:hanging="360"/>
        <w:rPr>
          <w:u w:val="none"/>
        </w:rPr>
      </w:pPr>
      <w:r w:rsidDel="00000000" w:rsidR="00000000" w:rsidRPr="00000000">
        <w:rPr>
          <w:b w:val="1"/>
          <w:rtl w:val="0"/>
        </w:rPr>
        <w:t xml:space="preserve">On-Prem: </w:t>
      </w:r>
      <w:r w:rsidDel="00000000" w:rsidR="00000000" w:rsidRPr="00000000">
        <w:rPr>
          <w:rtl w:val="0"/>
        </w:rPr>
        <w:t xml:space="preserve">Physical/virtual appliances managed locally, minimal external dependencies, maximum data sovereignty.  </w:t>
      </w:r>
    </w:p>
    <w:p w:rsidR="00000000" w:rsidDel="00000000" w:rsidP="00000000" w:rsidRDefault="00000000" w:rsidRPr="00000000" w14:paraId="000000AF">
      <w:pPr>
        <w:numPr>
          <w:ilvl w:val="0"/>
          <w:numId w:val="19"/>
        </w:numPr>
        <w:ind w:left="720" w:hanging="360"/>
        <w:rPr>
          <w:u w:val="none"/>
        </w:rPr>
      </w:pPr>
      <w:r w:rsidDel="00000000" w:rsidR="00000000" w:rsidRPr="00000000">
        <w:rPr>
          <w:b w:val="1"/>
          <w:rtl w:val="0"/>
        </w:rPr>
        <w:t xml:space="preserve">Cloud:</w:t>
      </w:r>
      <w:r w:rsidDel="00000000" w:rsidR="00000000" w:rsidRPr="00000000">
        <w:rPr>
          <w:rtl w:val="0"/>
        </w:rPr>
        <w:t xml:space="preserve"> SaaS-based approach with recognized security standards, potentially offering reduced infrastructure overhead.  </w:t>
      </w:r>
    </w:p>
    <w:p w:rsidR="00000000" w:rsidDel="00000000" w:rsidP="00000000" w:rsidRDefault="00000000" w:rsidRPr="00000000" w14:paraId="000000B0">
      <w:pPr>
        <w:numPr>
          <w:ilvl w:val="0"/>
          <w:numId w:val="19"/>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feeding cloud-based analytics or management dashboards, balancing local control with advanced remote intelligence.</w:t>
      </w:r>
    </w:p>
    <w:p w:rsidR="00000000" w:rsidDel="00000000" w:rsidP="00000000" w:rsidRDefault="00000000" w:rsidRPr="00000000" w14:paraId="000000B1">
      <w:pPr>
        <w:pStyle w:val="Heading3"/>
        <w:rPr>
          <w:b w:val="1"/>
          <w:color w:val="000000"/>
          <w:sz w:val="26"/>
          <w:szCs w:val="26"/>
        </w:rPr>
      </w:pPr>
      <w:bookmarkStart w:colFirst="0" w:colLast="0" w:name="_hp1uk2g8unih"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B2">
      <w:pPr>
        <w:numPr>
          <w:ilvl w:val="0"/>
          <w:numId w:val="43"/>
        </w:numPr>
        <w:spacing w:before="200" w:lineRule="auto"/>
        <w:ind w:left="720" w:hanging="360"/>
        <w:rPr>
          <w:b w:val="1"/>
        </w:rPr>
      </w:pPr>
      <w:r w:rsidDel="00000000" w:rsidR="00000000" w:rsidRPr="00000000">
        <w:rPr>
          <w:b w:val="1"/>
          <w:rtl w:val="0"/>
        </w:rPr>
        <w:t xml:space="preserve">Planning and Gap Analysis  </w:t>
      </w:r>
    </w:p>
    <w:p w:rsidR="00000000" w:rsidDel="00000000" w:rsidP="00000000" w:rsidRDefault="00000000" w:rsidRPr="00000000" w14:paraId="000000B3">
      <w:pPr>
        <w:numPr>
          <w:ilvl w:val="0"/>
          <w:numId w:val="29"/>
        </w:numPr>
        <w:spacing w:after="0" w:before="200" w:lineRule="auto"/>
        <w:ind w:left="1440" w:hanging="360"/>
        <w:rPr>
          <w:u w:val="none"/>
        </w:rPr>
      </w:pPr>
      <w:r w:rsidDel="00000000" w:rsidR="00000000" w:rsidRPr="00000000">
        <w:rPr>
          <w:rtl w:val="0"/>
        </w:rPr>
        <w:t xml:space="preserve">Identification of data sources, risk assessments, project charter, and success metrics.  </w:t>
      </w:r>
    </w:p>
    <w:p w:rsidR="00000000" w:rsidDel="00000000" w:rsidP="00000000" w:rsidRDefault="00000000" w:rsidRPr="00000000" w14:paraId="000000B4">
      <w:pPr>
        <w:numPr>
          <w:ilvl w:val="0"/>
          <w:numId w:val="29"/>
        </w:numPr>
        <w:ind w:left="1440" w:hanging="360"/>
        <w:rPr>
          <w:u w:val="none"/>
        </w:rPr>
      </w:pPr>
      <w:r w:rsidDel="00000000" w:rsidR="00000000" w:rsidRPr="00000000">
        <w:rPr>
          <w:rtl w:val="0"/>
        </w:rPr>
        <w:t xml:space="preserve">Deliverables: Stakeholder alignment, risk register, final timeline.</w:t>
      </w:r>
    </w:p>
    <w:p w:rsidR="00000000" w:rsidDel="00000000" w:rsidP="00000000" w:rsidRDefault="00000000" w:rsidRPr="00000000" w14:paraId="000000B5">
      <w:pPr>
        <w:numPr>
          <w:ilvl w:val="0"/>
          <w:numId w:val="43"/>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solution in a limited environment (a subset of data stores or a department) to verify scanning accuracy, DSAR handling, and performance impact.  </w:t>
      </w:r>
    </w:p>
    <w:p w:rsidR="00000000" w:rsidDel="00000000" w:rsidP="00000000" w:rsidRDefault="00000000" w:rsidRPr="00000000" w14:paraId="000000B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 blueprint.</w:t>
      </w:r>
    </w:p>
    <w:p w:rsidR="00000000" w:rsidDel="00000000" w:rsidP="00000000" w:rsidRDefault="00000000" w:rsidRPr="00000000" w14:paraId="000000B8">
      <w:pPr>
        <w:numPr>
          <w:ilvl w:val="0"/>
          <w:numId w:val="43"/>
        </w:numPr>
        <w:spacing w:after="0" w:before="200" w:lineRule="auto"/>
        <w:ind w:left="720" w:hanging="360"/>
        <w:rPr>
          <w:b w:val="1"/>
        </w:rPr>
      </w:pPr>
      <w:r w:rsidDel="00000000" w:rsidR="00000000" w:rsidRPr="00000000">
        <w:rPr>
          <w:b w:val="1"/>
          <w:rtl w:val="0"/>
        </w:rPr>
        <w:t xml:space="preserve">Production Rollout </w:t>
      </w:r>
    </w:p>
    <w:p w:rsidR="00000000" w:rsidDel="00000000" w:rsidP="00000000" w:rsidRDefault="00000000" w:rsidRPr="00000000" w14:paraId="000000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Scale solution coverage to the entire data environment.  </w:t>
      </w:r>
    </w:p>
    <w:p w:rsidR="00000000" w:rsidDel="00000000" w:rsidP="00000000" w:rsidRDefault="00000000" w:rsidRPr="00000000" w14:paraId="000000B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Configured environment, training programs, acceptance sign-off.</w:t>
      </w:r>
    </w:p>
    <w:p w:rsidR="00000000" w:rsidDel="00000000" w:rsidP="00000000" w:rsidRDefault="00000000" w:rsidRPr="00000000" w14:paraId="000000BB">
      <w:pPr>
        <w:numPr>
          <w:ilvl w:val="0"/>
          <w:numId w:val="43"/>
        </w:numPr>
        <w:spacing w:after="0" w:before="200" w:lineRule="auto"/>
        <w:ind w:left="720" w:hanging="360"/>
        <w:rPr>
          <w:b w:val="1"/>
        </w:rPr>
      </w:pPr>
      <w:r w:rsidDel="00000000" w:rsidR="00000000" w:rsidRPr="00000000">
        <w:rPr>
          <w:b w:val="1"/>
          <w:rtl w:val="0"/>
        </w:rPr>
        <w:t xml:space="preserve">Optimization and Maintenance  </w:t>
      </w:r>
    </w:p>
    <w:p w:rsidR="00000000" w:rsidDel="00000000" w:rsidP="00000000" w:rsidRDefault="00000000" w:rsidRPr="00000000" w14:paraId="000000B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tuning of classification rules, detection thresholds, advanced feature integrations.  </w:t>
      </w:r>
    </w:p>
    <w:p w:rsidR="00000000" w:rsidDel="00000000" w:rsidP="00000000" w:rsidRDefault="00000000" w:rsidRPr="00000000" w14:paraId="000000B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 sessions.</w:t>
      </w:r>
    </w:p>
    <w:p w:rsidR="00000000" w:rsidDel="00000000" w:rsidP="00000000" w:rsidRDefault="00000000" w:rsidRPr="00000000" w14:paraId="000000BE">
      <w:pPr>
        <w:pStyle w:val="Heading3"/>
        <w:rPr>
          <w:b w:val="1"/>
          <w:color w:val="000000"/>
          <w:sz w:val="26"/>
          <w:szCs w:val="26"/>
        </w:rPr>
      </w:pPr>
      <w:bookmarkStart w:colFirst="0" w:colLast="0" w:name="_xsm6gys6jnib"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F">
      <w:pPr>
        <w:numPr>
          <w:ilvl w:val="0"/>
          <w:numId w:val="2"/>
        </w:numPr>
        <w:spacing w:before="200" w:lineRule="auto"/>
        <w:ind w:left="720" w:hanging="360"/>
        <w:rPr>
          <w:u w:val="none"/>
        </w:rPr>
      </w:pPr>
      <w:r w:rsidDel="00000000" w:rsidR="00000000" w:rsidRPr="00000000">
        <w:rPr>
          <w:b w:val="1"/>
          <w:rtl w:val="0"/>
        </w:rPr>
        <w:t xml:space="preserve">Technical Workshops:</w:t>
      </w:r>
      <w:r w:rsidDel="00000000" w:rsidR="00000000" w:rsidRPr="00000000">
        <w:rPr>
          <w:rtl w:val="0"/>
        </w:rPr>
        <w:t xml:space="preserve"> Detailed sessions for privacy/legal teams, IT ops, and security on data scanning, DSR workflows, incident triage.  </w:t>
      </w:r>
    </w:p>
    <w:p w:rsidR="00000000" w:rsidDel="00000000" w:rsidP="00000000" w:rsidRDefault="00000000" w:rsidRPr="00000000" w14:paraId="000000C0">
      <w:pPr>
        <w:numPr>
          <w:ilvl w:val="0"/>
          <w:numId w:val="2"/>
        </w:numPr>
        <w:ind w:left="720" w:hanging="360"/>
        <w:rPr>
          <w:u w:val="none"/>
        </w:rPr>
      </w:pPr>
      <w:r w:rsidDel="00000000" w:rsidR="00000000" w:rsidRPr="00000000">
        <w:rPr>
          <w:b w:val="1"/>
          <w:rtl w:val="0"/>
        </w:rPr>
        <w:t xml:space="preserve">Executive Summaries: </w:t>
      </w:r>
      <w:r w:rsidDel="00000000" w:rsidR="00000000" w:rsidRPr="00000000">
        <w:rPr>
          <w:rtl w:val="0"/>
        </w:rPr>
        <w:t xml:space="preserve">Presentations to leadership, highlighting compliance posture, ROI, key privacy metrics.  </w:t>
      </w:r>
    </w:p>
    <w:p w:rsidR="00000000" w:rsidDel="00000000" w:rsidP="00000000" w:rsidRDefault="00000000" w:rsidRPr="00000000" w14:paraId="000000C1">
      <w:pPr>
        <w:numPr>
          <w:ilvl w:val="0"/>
          <w:numId w:val="2"/>
        </w:numPr>
        <w:ind w:left="720" w:hanging="360"/>
        <w:rPr>
          <w:u w:val="none"/>
        </w:rPr>
      </w:pPr>
      <w:r w:rsidDel="00000000" w:rsidR="00000000" w:rsidRPr="00000000">
        <w:rPr>
          <w:b w:val="1"/>
          <w:rtl w:val="0"/>
        </w:rPr>
        <w:t xml:space="preserve">Documentation: </w:t>
      </w:r>
      <w:r w:rsidDel="00000000" w:rsidR="00000000" w:rsidRPr="00000000">
        <w:rPr>
          <w:rtl w:val="0"/>
        </w:rPr>
        <w:t xml:space="preserve">Thorough user manuals, runbooks, knowledge base resources for operation and troubleshooting.</w:t>
      </w:r>
    </w:p>
    <w:p w:rsidR="00000000" w:rsidDel="00000000" w:rsidP="00000000" w:rsidRDefault="00000000" w:rsidRPr="00000000" w14:paraId="000000C2">
      <w:pPr>
        <w:pStyle w:val="Heading3"/>
        <w:rPr>
          <w:b w:val="1"/>
          <w:color w:val="000000"/>
          <w:sz w:val="26"/>
          <w:szCs w:val="26"/>
        </w:rPr>
      </w:pPr>
      <w:bookmarkStart w:colFirst="0" w:colLast="0" w:name="_9uh0at5c48it"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3">
      <w:pPr>
        <w:numPr>
          <w:ilvl w:val="0"/>
          <w:numId w:val="6"/>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scanning disruptions, unknown data sources, vendor performance, resource limitations.  </w:t>
      </w:r>
    </w:p>
    <w:p w:rsidR="00000000" w:rsidDel="00000000" w:rsidP="00000000" w:rsidRDefault="00000000" w:rsidRPr="00000000" w14:paraId="000000C4">
      <w:pPr>
        <w:numPr>
          <w:ilvl w:val="0"/>
          <w:numId w:val="6"/>
        </w:numPr>
        <w:ind w:left="720" w:hanging="360"/>
        <w:rPr>
          <w:u w:val="none"/>
        </w:rPr>
      </w:pPr>
      <w:r w:rsidDel="00000000" w:rsidR="00000000" w:rsidRPr="00000000">
        <w:rPr>
          <w:b w:val="1"/>
          <w:rtl w:val="0"/>
        </w:rPr>
        <w:t xml:space="preserve">Mitigation: I</w:t>
      </w:r>
      <w:r w:rsidDel="00000000" w:rsidR="00000000" w:rsidRPr="00000000">
        <w:rPr>
          <w:rtl w:val="0"/>
        </w:rPr>
        <w:t xml:space="preserve">ncremental adoption, robust pilot expansions, bridging solutions for legacy systems.  </w:t>
      </w:r>
    </w:p>
    <w:p w:rsidR="00000000" w:rsidDel="00000000" w:rsidP="00000000" w:rsidRDefault="00000000" w:rsidRPr="00000000" w14:paraId="000000C5">
      <w:pPr>
        <w:numPr>
          <w:ilvl w:val="0"/>
          <w:numId w:val="6"/>
        </w:numPr>
        <w:ind w:left="720" w:hanging="360"/>
        <w:rPr>
          <w:u w:val="none"/>
        </w:rPr>
      </w:pPr>
      <w:r w:rsidDel="00000000" w:rsidR="00000000" w:rsidRPr="00000000">
        <w:rPr>
          <w:b w:val="1"/>
          <w:rtl w:val="0"/>
        </w:rPr>
        <w:t xml:space="preserve">Contingency: </w:t>
      </w:r>
      <w:r w:rsidDel="00000000" w:rsidR="00000000" w:rsidRPr="00000000">
        <w:rPr>
          <w:rtl w:val="0"/>
        </w:rPr>
        <w:t xml:space="preserve">Rollback procedures, vendor escalation channels, or short-term alternative scanning solutions if major issues arise.</w:t>
      </w:r>
    </w:p>
    <w:p w:rsidR="00000000" w:rsidDel="00000000" w:rsidP="00000000" w:rsidRDefault="00000000" w:rsidRPr="00000000" w14:paraId="000000C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7">
      <w:pPr>
        <w:pStyle w:val="Heading2"/>
        <w:rPr>
          <w:b w:val="1"/>
          <w:sz w:val="34"/>
          <w:szCs w:val="34"/>
        </w:rPr>
      </w:pPr>
      <w:bookmarkStart w:colFirst="0" w:colLast="0" w:name="_4tc1cg5m4087"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8">
      <w:pPr>
        <w:pStyle w:val="Heading3"/>
        <w:rPr>
          <w:b w:val="1"/>
          <w:color w:val="000000"/>
          <w:sz w:val="26"/>
          <w:szCs w:val="26"/>
        </w:rPr>
      </w:pPr>
      <w:bookmarkStart w:colFirst="0" w:colLast="0" w:name="_wcmz3m4pizj6"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9">
      <w:pPr>
        <w:numPr>
          <w:ilvl w:val="0"/>
          <w:numId w:val="27"/>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date, strategic mission, relevant acquisitions, leadership credentials.  </w:t>
      </w:r>
    </w:p>
    <w:p w:rsidR="00000000" w:rsidDel="00000000" w:rsidP="00000000" w:rsidRDefault="00000000" w:rsidRPr="00000000" w14:paraId="000000CA">
      <w:pPr>
        <w:numPr>
          <w:ilvl w:val="0"/>
          <w:numId w:val="27"/>
        </w:numPr>
        <w:ind w:left="720" w:hanging="360"/>
        <w:rPr>
          <w:u w:val="none"/>
        </w:rPr>
      </w:pPr>
      <w:r w:rsidDel="00000000" w:rsidR="00000000" w:rsidRPr="00000000">
        <w:rPr>
          <w:b w:val="1"/>
          <w:rtl w:val="0"/>
        </w:rPr>
        <w:t xml:space="preserve">Financial Health:</w:t>
      </w:r>
      <w:r w:rsidDel="00000000" w:rsidR="00000000" w:rsidRPr="00000000">
        <w:rPr>
          <w:rtl w:val="0"/>
        </w:rPr>
        <w:t xml:space="preserve"> Demonstrable revenue stability, profitable lines, or credible investor support.  </w:t>
      </w:r>
    </w:p>
    <w:p w:rsidR="00000000" w:rsidDel="00000000" w:rsidP="00000000" w:rsidRDefault="00000000" w:rsidRPr="00000000" w14:paraId="000000CB">
      <w:pPr>
        <w:numPr>
          <w:ilvl w:val="0"/>
          <w:numId w:val="27"/>
        </w:numPr>
        <w:ind w:left="720" w:hanging="360"/>
        <w:rPr>
          <w:u w:val="none"/>
        </w:rPr>
      </w:pPr>
      <w:r w:rsidDel="00000000" w:rsidR="00000000" w:rsidRPr="00000000">
        <w:rPr>
          <w:b w:val="1"/>
          <w:rtl w:val="0"/>
        </w:rPr>
        <w:t xml:space="preserve">Alliances:</w:t>
      </w:r>
      <w:r w:rsidDel="00000000" w:rsidR="00000000" w:rsidRPr="00000000">
        <w:rPr>
          <w:rtl w:val="0"/>
        </w:rPr>
        <w:t xml:space="preserve"> Partnerships with major cloud providers, security solution platforms, or recognized privacy frameworks.</w:t>
      </w:r>
    </w:p>
    <w:p w:rsidR="00000000" w:rsidDel="00000000" w:rsidP="00000000" w:rsidRDefault="00000000" w:rsidRPr="00000000" w14:paraId="000000CC">
      <w:pPr>
        <w:pStyle w:val="Heading3"/>
        <w:rPr>
          <w:b w:val="1"/>
          <w:color w:val="000000"/>
          <w:sz w:val="26"/>
          <w:szCs w:val="26"/>
        </w:rPr>
      </w:pPr>
      <w:bookmarkStart w:colFirst="0" w:colLast="0" w:name="_t95jmpw7fkph" w:id="25"/>
      <w:bookmarkEnd w:id="25"/>
      <w:r w:rsidDel="00000000" w:rsidR="00000000" w:rsidRPr="00000000">
        <w:rPr>
          <w:b w:val="1"/>
          <w:color w:val="000000"/>
          <w:sz w:val="26"/>
          <w:szCs w:val="26"/>
          <w:rtl w:val="0"/>
        </w:rPr>
        <w:t xml:space="preserve">5.2 NJDPA/Consumer Privacy Expertise and Track Record</w:t>
      </w:r>
    </w:p>
    <w:p w:rsidR="00000000" w:rsidDel="00000000" w:rsidP="00000000" w:rsidRDefault="00000000" w:rsidRPr="00000000" w14:paraId="000000CD">
      <w:pPr>
        <w:numPr>
          <w:ilvl w:val="0"/>
          <w:numId w:val="26"/>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Understanding of NDJPA’s consumer rights, data minimization, security obligations, and breach notification guidelines.  </w:t>
      </w:r>
    </w:p>
    <w:p w:rsidR="00000000" w:rsidDel="00000000" w:rsidP="00000000" w:rsidRDefault="00000000" w:rsidRPr="00000000" w14:paraId="000000CE">
      <w:pPr>
        <w:numPr>
          <w:ilvl w:val="0"/>
          <w:numId w:val="26"/>
        </w:numPr>
        <w:ind w:left="720" w:hanging="360"/>
        <w:rPr>
          <w:u w:val="none"/>
        </w:rPr>
      </w:pPr>
      <w:r w:rsidDel="00000000" w:rsidR="00000000" w:rsidRPr="00000000">
        <w:rPr>
          <w:b w:val="1"/>
          <w:rtl w:val="0"/>
        </w:rPr>
        <w:t xml:space="preserve">References:</w:t>
      </w:r>
      <w:r w:rsidDel="00000000" w:rsidR="00000000" w:rsidRPr="00000000">
        <w:rPr>
          <w:rtl w:val="0"/>
        </w:rPr>
        <w:t xml:space="preserve"> Case studies of prior deployments with similar compliance requirements or large-scale data ecosystems.  </w:t>
      </w:r>
    </w:p>
    <w:p w:rsidR="00000000" w:rsidDel="00000000" w:rsidP="00000000" w:rsidRDefault="00000000" w:rsidRPr="00000000" w14:paraId="000000CF">
      <w:pPr>
        <w:numPr>
          <w:ilvl w:val="0"/>
          <w:numId w:val="26"/>
        </w:numPr>
        <w:ind w:left="720" w:hanging="360"/>
        <w:rPr>
          <w:u w:val="none"/>
        </w:rPr>
      </w:pPr>
      <w:r w:rsidDel="00000000" w:rsidR="00000000" w:rsidRPr="00000000">
        <w:rPr>
          <w:b w:val="1"/>
          <w:rtl w:val="0"/>
        </w:rPr>
        <w:t xml:space="preserve">Performance Metrics: </w:t>
      </w:r>
      <w:r w:rsidDel="00000000" w:rsidR="00000000" w:rsidRPr="00000000">
        <w:rPr>
          <w:rtl w:val="0"/>
        </w:rPr>
        <w:t xml:space="preserve">Showcasing improvements in DSAR speed, risk reduction, or minimized compliance overhead.</w:t>
      </w:r>
    </w:p>
    <w:p w:rsidR="00000000" w:rsidDel="00000000" w:rsidP="00000000" w:rsidRDefault="00000000" w:rsidRPr="00000000" w14:paraId="000000D0">
      <w:pPr>
        <w:pStyle w:val="Heading3"/>
        <w:rPr>
          <w:b w:val="1"/>
          <w:color w:val="000000"/>
          <w:sz w:val="26"/>
          <w:szCs w:val="26"/>
        </w:rPr>
      </w:pPr>
      <w:bookmarkStart w:colFirst="0" w:colLast="0" w:name="_mk4nxfclfstb"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D1">
      <w:pPr>
        <w:numPr>
          <w:ilvl w:val="0"/>
          <w:numId w:val="4"/>
        </w:numPr>
        <w:spacing w:before="200" w:lineRule="auto"/>
        <w:ind w:left="720" w:hanging="360"/>
        <w:rPr>
          <w:u w:val="none"/>
        </w:rPr>
      </w:pPr>
      <w:r w:rsidDel="00000000" w:rsidR="00000000" w:rsidRPr="00000000">
        <w:rPr>
          <w:b w:val="1"/>
          <w:rtl w:val="0"/>
        </w:rPr>
        <w:t xml:space="preserve">Sector Fit: </w:t>
      </w:r>
      <w:r w:rsidDel="00000000" w:rsidR="00000000" w:rsidRPr="00000000">
        <w:rPr>
          <w:rtl w:val="0"/>
        </w:rPr>
        <w:t xml:space="preserve">Finance, retail, healthcare, e-commerce, or technology with complex consumer data usage.  </w:t>
      </w:r>
    </w:p>
    <w:p w:rsidR="00000000" w:rsidDel="00000000" w:rsidP="00000000" w:rsidRDefault="00000000" w:rsidRPr="00000000" w14:paraId="000000D2">
      <w:pPr>
        <w:numPr>
          <w:ilvl w:val="0"/>
          <w:numId w:val="4"/>
        </w:numPr>
        <w:ind w:left="720" w:hanging="360"/>
        <w:rPr>
          <w:u w:val="none"/>
        </w:rPr>
      </w:pPr>
      <w:r w:rsidDel="00000000" w:rsidR="00000000" w:rsidRPr="00000000">
        <w:rPr>
          <w:b w:val="1"/>
          <w:rtl w:val="0"/>
        </w:rPr>
        <w:t xml:space="preserve">Deployment Scale:</w:t>
      </w:r>
      <w:r w:rsidDel="00000000" w:rsidR="00000000" w:rsidRPr="00000000">
        <w:rPr>
          <w:rtl w:val="0"/>
        </w:rPr>
        <w:t xml:space="preserve"> Experience scanning millions of records or supporting multi-site or ICS/IoT data if relevant.  </w:t>
      </w:r>
    </w:p>
    <w:p w:rsidR="00000000" w:rsidDel="00000000" w:rsidP="00000000" w:rsidRDefault="00000000" w:rsidRPr="00000000" w14:paraId="000000D3">
      <w:pPr>
        <w:numPr>
          <w:ilvl w:val="0"/>
          <w:numId w:val="4"/>
        </w:numPr>
        <w:ind w:left="720" w:hanging="360"/>
        <w:rPr>
          <w:u w:val="none"/>
        </w:rPr>
      </w:pPr>
      <w:r w:rsidDel="00000000" w:rsidR="00000000" w:rsidRPr="00000000">
        <w:rPr>
          <w:b w:val="1"/>
          <w:rtl w:val="0"/>
        </w:rPr>
        <w:t xml:space="preserve">Innovation: </w:t>
      </w:r>
      <w:r w:rsidDel="00000000" w:rsidR="00000000" w:rsidRPr="00000000">
        <w:rPr>
          <w:rtl w:val="0"/>
        </w:rPr>
        <w:t xml:space="preserve">Unique approach to advanced detection or policy-driven data governance.</w:t>
      </w:r>
    </w:p>
    <w:p w:rsidR="00000000" w:rsidDel="00000000" w:rsidP="00000000" w:rsidRDefault="00000000" w:rsidRPr="00000000" w14:paraId="000000D4">
      <w:pPr>
        <w:pStyle w:val="Heading3"/>
        <w:rPr>
          <w:b w:val="1"/>
          <w:color w:val="000000"/>
          <w:sz w:val="26"/>
          <w:szCs w:val="26"/>
        </w:rPr>
      </w:pPr>
      <w:bookmarkStart w:colFirst="0" w:colLast="0" w:name="_dj738iv45suu"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5">
      <w:pPr>
        <w:numPr>
          <w:ilvl w:val="0"/>
          <w:numId w:val="13"/>
        </w:numPr>
        <w:spacing w:before="200" w:lineRule="auto"/>
        <w:ind w:left="720" w:hanging="360"/>
        <w:rPr>
          <w:u w:val="none"/>
        </w:rPr>
      </w:pPr>
      <w:r w:rsidDel="00000000" w:rsidR="00000000" w:rsidRPr="00000000">
        <w:rPr>
          <w:b w:val="1"/>
          <w:rtl w:val="0"/>
        </w:rPr>
        <w:t xml:space="preserve">Security/Privacy Standards:</w:t>
      </w:r>
      <w:r w:rsidDel="00000000" w:rsidR="00000000" w:rsidRPr="00000000">
        <w:rPr>
          <w:rtl w:val="0"/>
        </w:rPr>
        <w:t xml:space="preserve"> ISO 27001, SOC 2, recognized privacy certifications (APEC CBPR, etc.).  </w:t>
      </w:r>
    </w:p>
    <w:p w:rsidR="00000000" w:rsidDel="00000000" w:rsidP="00000000" w:rsidRDefault="00000000" w:rsidRPr="00000000" w14:paraId="000000D6">
      <w:pPr>
        <w:numPr>
          <w:ilvl w:val="0"/>
          <w:numId w:val="13"/>
        </w:numPr>
        <w:ind w:left="720" w:hanging="360"/>
        <w:rPr>
          <w:u w:val="none"/>
        </w:rPr>
      </w:pPr>
      <w:r w:rsidDel="00000000" w:rsidR="00000000" w:rsidRPr="00000000">
        <w:rPr>
          <w:b w:val="1"/>
          <w:rtl w:val="0"/>
        </w:rPr>
        <w:t xml:space="preserve">Analyst Mentions:</w:t>
      </w:r>
      <w:r w:rsidDel="00000000" w:rsidR="00000000" w:rsidRPr="00000000">
        <w:rPr>
          <w:rtl w:val="0"/>
        </w:rPr>
        <w:t xml:space="preserve"> Inclusion in data privacy or security quadrants or wave reports.  </w:t>
      </w:r>
    </w:p>
    <w:p w:rsidR="00000000" w:rsidDel="00000000" w:rsidP="00000000" w:rsidRDefault="00000000" w:rsidRPr="00000000" w14:paraId="000000D7">
      <w:pPr>
        <w:numPr>
          <w:ilvl w:val="0"/>
          <w:numId w:val="13"/>
        </w:numPr>
        <w:ind w:left="720" w:hanging="360"/>
        <w:rPr>
          <w:u w:val="none"/>
        </w:rPr>
      </w:pPr>
      <w:r w:rsidDel="00000000" w:rsidR="00000000" w:rsidRPr="00000000">
        <w:rPr>
          <w:b w:val="1"/>
          <w:rtl w:val="0"/>
        </w:rPr>
        <w:t xml:space="preserve">Regulatory Engagement:</w:t>
      </w:r>
      <w:r w:rsidDel="00000000" w:rsidR="00000000" w:rsidRPr="00000000">
        <w:rPr>
          <w:rtl w:val="0"/>
        </w:rPr>
        <w:t xml:space="preserve"> Possibly accredited or recognized by data protection authorities or privacy alliances.</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rPr>
          <w:b w:val="1"/>
          <w:sz w:val="34"/>
          <w:szCs w:val="34"/>
        </w:rPr>
      </w:pPr>
      <w:bookmarkStart w:colFirst="0" w:colLast="0" w:name="_sggqd819wi7h"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A">
      <w:pPr>
        <w:pStyle w:val="Heading3"/>
        <w:rPr>
          <w:b w:val="1"/>
          <w:color w:val="000000"/>
          <w:sz w:val="26"/>
          <w:szCs w:val="26"/>
        </w:rPr>
      </w:pPr>
      <w:bookmarkStart w:colFirst="0" w:colLast="0" w:name="_o0iavrr3z6rl"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B">
      <w:pPr>
        <w:numPr>
          <w:ilvl w:val="0"/>
          <w:numId w:val="20"/>
        </w:numPr>
        <w:spacing w:before="200" w:lineRule="auto"/>
        <w:ind w:left="720" w:hanging="360"/>
        <w:rPr/>
      </w:pPr>
      <w:r w:rsidDel="00000000" w:rsidR="00000000" w:rsidRPr="00000000">
        <w:rPr>
          <w:b w:val="1"/>
          <w:rtl w:val="0"/>
        </w:rPr>
        <w:t xml:space="preserve">Subscription:</w:t>
      </w:r>
      <w:r w:rsidDel="00000000" w:rsidR="00000000" w:rsidRPr="00000000">
        <w:rPr>
          <w:rtl w:val="0"/>
        </w:rPr>
        <w:t xml:space="preserve"> Annual or multi-year, potentially tiered by data volume or integrated systems.  </w:t>
      </w:r>
    </w:p>
    <w:p w:rsidR="00000000" w:rsidDel="00000000" w:rsidP="00000000" w:rsidRDefault="00000000" w:rsidRPr="00000000" w14:paraId="000000DC">
      <w:pPr>
        <w:numPr>
          <w:ilvl w:val="0"/>
          <w:numId w:val="20"/>
        </w:numPr>
        <w:ind w:left="720" w:hanging="360"/>
        <w:rPr/>
      </w:pPr>
      <w:r w:rsidDel="00000000" w:rsidR="00000000" w:rsidRPr="00000000">
        <w:rPr>
          <w:b w:val="1"/>
          <w:rtl w:val="0"/>
        </w:rPr>
        <w:t xml:space="preserve">Per-Asset:</w:t>
      </w:r>
      <w:r w:rsidDel="00000000" w:rsidR="00000000" w:rsidRPr="00000000">
        <w:rPr>
          <w:rtl w:val="0"/>
        </w:rPr>
        <w:t xml:space="preserve"> Pricing based on servers, endpoints, or data stores.  </w:t>
      </w:r>
    </w:p>
    <w:p w:rsidR="00000000" w:rsidDel="00000000" w:rsidP="00000000" w:rsidRDefault="00000000" w:rsidRPr="00000000" w14:paraId="000000DD">
      <w:pPr>
        <w:numPr>
          <w:ilvl w:val="0"/>
          <w:numId w:val="20"/>
        </w:numPr>
        <w:ind w:left="720" w:hanging="360"/>
        <w:rPr/>
      </w:pPr>
      <w:r w:rsidDel="00000000" w:rsidR="00000000" w:rsidRPr="00000000">
        <w:rPr>
          <w:b w:val="1"/>
          <w:rtl w:val="0"/>
        </w:rPr>
        <w:t xml:space="preserve">Enterprise:</w:t>
      </w:r>
      <w:r w:rsidDel="00000000" w:rsidR="00000000" w:rsidRPr="00000000">
        <w:rPr>
          <w:rtl w:val="0"/>
        </w:rPr>
        <w:t xml:space="preserve"> Single fee covering broad usage across multiple business units or geographic locations.</w:t>
      </w:r>
    </w:p>
    <w:p w:rsidR="00000000" w:rsidDel="00000000" w:rsidP="00000000" w:rsidRDefault="00000000" w:rsidRPr="00000000" w14:paraId="000000DE">
      <w:pPr>
        <w:pStyle w:val="Heading3"/>
        <w:rPr>
          <w:b w:val="1"/>
          <w:color w:val="000000"/>
          <w:sz w:val="26"/>
          <w:szCs w:val="26"/>
        </w:rPr>
      </w:pPr>
      <w:bookmarkStart w:colFirst="0" w:colLast="0" w:name="_7ycrfw5n2f6l"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F">
      <w:pPr>
        <w:numPr>
          <w:ilvl w:val="0"/>
          <w:numId w:val="35"/>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E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24/7 or business-hours coverage, dedicated technical account managers, advanced escalation for critical issues.  </w:t>
      </w:r>
    </w:p>
    <w:p w:rsidR="00000000" w:rsidDel="00000000" w:rsidP="00000000" w:rsidRDefault="00000000" w:rsidRPr="00000000" w14:paraId="000000E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ICS/IoT specialized support if relevant.</w:t>
      </w:r>
    </w:p>
    <w:p w:rsidR="00000000" w:rsidDel="00000000" w:rsidP="00000000" w:rsidRDefault="00000000" w:rsidRPr="00000000" w14:paraId="000000E2">
      <w:pPr>
        <w:numPr>
          <w:ilvl w:val="0"/>
          <w:numId w:val="35"/>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rPr/>
      </w:pPr>
      <w:r w:rsidDel="00000000" w:rsidR="00000000" w:rsidRPr="00000000">
        <w:rPr>
          <w:rtl w:val="0"/>
        </w:rPr>
        <w:t xml:space="preserve">Frequency of new releases, classification updates, bug fixes, or compliance expansions.  </w:t>
      </w:r>
    </w:p>
    <w:p w:rsidR="00000000" w:rsidDel="00000000" w:rsidP="00000000" w:rsidRDefault="00000000" w:rsidRPr="00000000" w14:paraId="000000E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Urgent hotfix approach for major vulnerabilities or compliance gaps.</w:t>
      </w:r>
    </w:p>
    <w:p w:rsidR="00000000" w:rsidDel="00000000" w:rsidP="00000000" w:rsidRDefault="00000000" w:rsidRPr="00000000" w14:paraId="000000E5">
      <w:pPr>
        <w:numPr>
          <w:ilvl w:val="0"/>
          <w:numId w:val="35"/>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6">
      <w:pPr>
        <w:numPr>
          <w:ilvl w:val="0"/>
          <w:numId w:val="31"/>
        </w:numPr>
        <w:spacing w:after="0" w:before="200" w:lineRule="auto"/>
        <w:ind w:left="1440" w:hanging="360"/>
        <w:rPr/>
      </w:pPr>
      <w:r w:rsidDel="00000000" w:rsidR="00000000" w:rsidRPr="00000000">
        <w:rPr>
          <w:rtl w:val="0"/>
        </w:rPr>
        <w:t xml:space="preserve">Required uptime, scanning performance, classification accuracy, or incident detection metrics.  </w:t>
      </w:r>
    </w:p>
    <w:p w:rsidR="00000000" w:rsidDel="00000000" w:rsidP="00000000" w:rsidRDefault="00000000" w:rsidRPr="00000000" w14:paraId="000000E7">
      <w:pPr>
        <w:numPr>
          <w:ilvl w:val="0"/>
          <w:numId w:val="31"/>
        </w:numPr>
        <w:ind w:left="1440" w:hanging="360"/>
        <w:rPr/>
      </w:pPr>
      <w:r w:rsidDel="00000000" w:rsidR="00000000" w:rsidRPr="00000000">
        <w:rPr>
          <w:rtl w:val="0"/>
        </w:rPr>
        <w:t xml:space="preserve">Remedies or credits if the vendor fails to meet SLA commitments.</w:t>
      </w:r>
    </w:p>
    <w:p w:rsidR="00000000" w:rsidDel="00000000" w:rsidP="00000000" w:rsidRDefault="00000000" w:rsidRPr="00000000" w14:paraId="000000E8">
      <w:pPr>
        <w:pStyle w:val="Heading3"/>
        <w:rPr>
          <w:b w:val="1"/>
          <w:color w:val="000000"/>
          <w:sz w:val="26"/>
          <w:szCs w:val="26"/>
        </w:rPr>
      </w:pPr>
      <w:bookmarkStart w:colFirst="0" w:colLast="0" w:name="_650rd2kp2f4w"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9">
      <w:pPr>
        <w:numPr>
          <w:ilvl w:val="0"/>
          <w:numId w:val="24"/>
        </w:numPr>
        <w:spacing w:before="200" w:lineRule="auto"/>
        <w:ind w:left="720" w:hanging="360"/>
        <w:rPr/>
      </w:pPr>
      <w:r w:rsidDel="00000000" w:rsidR="00000000" w:rsidRPr="00000000">
        <w:rPr>
          <w:b w:val="1"/>
          <w:rtl w:val="0"/>
        </w:rPr>
        <w:t xml:space="preserve">Professional Services: </w:t>
      </w:r>
      <w:r w:rsidDel="00000000" w:rsidR="00000000" w:rsidRPr="00000000">
        <w:rPr>
          <w:rtl w:val="0"/>
        </w:rPr>
        <w:t xml:space="preserve">Implementation consulting, advanced architecture design, specialized privacy compliance.  </w:t>
      </w:r>
    </w:p>
    <w:p w:rsidR="00000000" w:rsidDel="00000000" w:rsidP="00000000" w:rsidRDefault="00000000" w:rsidRPr="00000000" w14:paraId="000000EA">
      <w:pPr>
        <w:numPr>
          <w:ilvl w:val="0"/>
          <w:numId w:val="24"/>
        </w:numPr>
        <w:ind w:left="720" w:hanging="360"/>
        <w:rPr/>
      </w:pPr>
      <w:r w:rsidDel="00000000" w:rsidR="00000000" w:rsidRPr="00000000">
        <w:rPr>
          <w:b w:val="1"/>
          <w:rtl w:val="0"/>
        </w:rPr>
        <w:t xml:space="preserve">Managed Services:</w:t>
      </w:r>
      <w:r w:rsidDel="00000000" w:rsidR="00000000" w:rsidRPr="00000000">
        <w:rPr>
          <w:rtl w:val="0"/>
        </w:rPr>
        <w:t xml:space="preserve"> Outsourced daily scanning, DSAR triage, or incident response for organizations with limited internal capacity.  </w:t>
      </w:r>
    </w:p>
    <w:p w:rsidR="00000000" w:rsidDel="00000000" w:rsidP="00000000" w:rsidRDefault="00000000" w:rsidRPr="00000000" w14:paraId="000000EB">
      <w:pPr>
        <w:numPr>
          <w:ilvl w:val="0"/>
          <w:numId w:val="24"/>
        </w:numPr>
        <w:ind w:left="720" w:hanging="360"/>
        <w:rPr/>
      </w:pPr>
      <w:r w:rsidDel="00000000" w:rsidR="00000000" w:rsidRPr="00000000">
        <w:rPr>
          <w:b w:val="1"/>
          <w:rtl w:val="0"/>
        </w:rPr>
        <w:t xml:space="preserve">Growth Potential:</w:t>
      </w:r>
      <w:r w:rsidDel="00000000" w:rsidR="00000000" w:rsidRPr="00000000">
        <w:rPr>
          <w:rtl w:val="0"/>
        </w:rPr>
        <w:t xml:space="preserve"> Clear path to scale licensing or add features as new data sources come online or organizational needs evolve.</w:t>
      </w:r>
    </w:p>
    <w:p w:rsidR="00000000" w:rsidDel="00000000" w:rsidP="00000000" w:rsidRDefault="00000000" w:rsidRPr="00000000" w14:paraId="000000EC">
      <w:pPr>
        <w:pStyle w:val="Heading3"/>
        <w:rPr>
          <w:b w:val="1"/>
          <w:color w:val="000000"/>
          <w:sz w:val="26"/>
          <w:szCs w:val="26"/>
        </w:rPr>
      </w:pPr>
      <w:bookmarkStart w:colFirst="0" w:colLast="0" w:name="_kw3ic499olw0"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D">
      <w:pPr>
        <w:numPr>
          <w:ilvl w:val="0"/>
          <w:numId w:val="22"/>
        </w:numPr>
        <w:spacing w:before="200" w:lineRule="auto"/>
        <w:ind w:left="720" w:hanging="360"/>
        <w:rPr/>
      </w:pPr>
      <w:r w:rsidDel="00000000" w:rsidR="00000000" w:rsidRPr="00000000">
        <w:rPr>
          <w:b w:val="1"/>
          <w:rtl w:val="0"/>
        </w:rPr>
        <w:t xml:space="preserve">Billing Cycles: </w:t>
      </w:r>
      <w:r w:rsidDel="00000000" w:rsidR="00000000" w:rsidRPr="00000000">
        <w:rPr>
          <w:rtl w:val="0"/>
        </w:rPr>
        <w:t xml:space="preserve">Monthly, quarterly, annual.  </w:t>
      </w:r>
    </w:p>
    <w:p w:rsidR="00000000" w:rsidDel="00000000" w:rsidP="00000000" w:rsidRDefault="00000000" w:rsidRPr="00000000" w14:paraId="000000EE">
      <w:pPr>
        <w:numPr>
          <w:ilvl w:val="0"/>
          <w:numId w:val="22"/>
        </w:numPr>
        <w:ind w:left="720" w:hanging="360"/>
        <w:rPr/>
      </w:pPr>
      <w:r w:rsidDel="00000000" w:rsidR="00000000" w:rsidRPr="00000000">
        <w:rPr>
          <w:b w:val="1"/>
          <w:rtl w:val="0"/>
        </w:rPr>
        <w:t xml:space="preserve">Contract Term:</w:t>
      </w:r>
      <w:r w:rsidDel="00000000" w:rsidR="00000000" w:rsidRPr="00000000">
        <w:rPr>
          <w:rtl w:val="0"/>
        </w:rPr>
        <w:t xml:space="preserve"> Typically 1–3 years, with extension or renewal options.  </w:t>
      </w:r>
    </w:p>
    <w:p w:rsidR="00000000" w:rsidDel="00000000" w:rsidP="00000000" w:rsidRDefault="00000000" w:rsidRPr="00000000" w14:paraId="000000EF">
      <w:pPr>
        <w:numPr>
          <w:ilvl w:val="0"/>
          <w:numId w:val="22"/>
        </w:numPr>
        <w:ind w:left="720" w:hanging="360"/>
        <w:rPr/>
      </w:pPr>
      <w:r w:rsidDel="00000000" w:rsidR="00000000" w:rsidRPr="00000000">
        <w:rPr>
          <w:b w:val="1"/>
          <w:rtl w:val="0"/>
        </w:rPr>
        <w:t xml:space="preserve">Early Termination:</w:t>
      </w:r>
      <w:r w:rsidDel="00000000" w:rsidR="00000000" w:rsidRPr="00000000">
        <w:rPr>
          <w:rtl w:val="0"/>
        </w:rPr>
        <w:t xml:space="preserve"> Options if the vendor repeatedly fails SLA or cannot meet NDJPA compliance requirements.</w:t>
      </w:r>
    </w:p>
    <w:p w:rsidR="00000000" w:rsidDel="00000000" w:rsidP="00000000" w:rsidRDefault="00000000" w:rsidRPr="00000000" w14:paraId="000000F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1">
      <w:pPr>
        <w:pStyle w:val="Heading2"/>
        <w:rPr>
          <w:b w:val="1"/>
          <w:sz w:val="34"/>
          <w:szCs w:val="34"/>
        </w:rPr>
      </w:pPr>
      <w:bookmarkStart w:colFirst="0" w:colLast="0" w:name="_dxmd96fvc9y"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F2">
      <w:pPr>
        <w:pStyle w:val="Heading3"/>
        <w:rPr>
          <w:b w:val="1"/>
          <w:color w:val="000000"/>
          <w:sz w:val="26"/>
          <w:szCs w:val="26"/>
        </w:rPr>
      </w:pPr>
      <w:bookmarkStart w:colFirst="0" w:colLast="0" w:name="_79rza3j4ybn7" w:id="34"/>
      <w:bookmarkEnd w:id="34"/>
      <w:r w:rsidDel="00000000" w:rsidR="00000000" w:rsidRPr="00000000">
        <w:rPr>
          <w:b w:val="1"/>
          <w:color w:val="000000"/>
          <w:sz w:val="26"/>
          <w:szCs w:val="26"/>
          <w:rtl w:val="0"/>
        </w:rPr>
        <w:t xml:space="preserve">7.1 Alignment with NJDPA Requirements</w:t>
      </w:r>
    </w:p>
    <w:p w:rsidR="00000000" w:rsidDel="00000000" w:rsidP="00000000" w:rsidRDefault="00000000" w:rsidRPr="00000000" w14:paraId="000000F3">
      <w:pPr>
        <w:numPr>
          <w:ilvl w:val="0"/>
          <w:numId w:val="42"/>
        </w:numPr>
        <w:spacing w:before="200" w:lineRule="auto"/>
        <w:ind w:left="720" w:hanging="360"/>
        <w:rPr/>
      </w:pPr>
      <w:r w:rsidDel="00000000" w:rsidR="00000000" w:rsidRPr="00000000">
        <w:rPr>
          <w:b w:val="1"/>
          <w:rtl w:val="0"/>
        </w:rPr>
        <w:t xml:space="preserve">Coverage: </w:t>
      </w:r>
      <w:r w:rsidDel="00000000" w:rsidR="00000000" w:rsidRPr="00000000">
        <w:rPr>
          <w:rtl w:val="0"/>
        </w:rPr>
        <w:t xml:space="preserve">Thoroughness in addressing consumer rights, data minimization, security measures, and breach notifications.  </w:t>
      </w:r>
    </w:p>
    <w:p w:rsidR="00000000" w:rsidDel="00000000" w:rsidP="00000000" w:rsidRDefault="00000000" w:rsidRPr="00000000" w14:paraId="000000F4">
      <w:pPr>
        <w:numPr>
          <w:ilvl w:val="0"/>
          <w:numId w:val="42"/>
        </w:numPr>
        <w:ind w:left="720" w:hanging="360"/>
        <w:rPr/>
      </w:pPr>
      <w:r w:rsidDel="00000000" w:rsidR="00000000" w:rsidRPr="00000000">
        <w:rPr>
          <w:b w:val="1"/>
          <w:rtl w:val="0"/>
        </w:rPr>
        <w:t xml:space="preserve">Complex Data Environments: </w:t>
      </w:r>
      <w:r w:rsidDel="00000000" w:rsidR="00000000" w:rsidRPr="00000000">
        <w:rPr>
          <w:rtl w:val="0"/>
        </w:rPr>
        <w:t xml:space="preserve">Suitability for advanced classification, legacy coverage, or scaled DSAR orchestration.</w:t>
      </w:r>
    </w:p>
    <w:p w:rsidR="00000000" w:rsidDel="00000000" w:rsidP="00000000" w:rsidRDefault="00000000" w:rsidRPr="00000000" w14:paraId="000000F5">
      <w:pPr>
        <w:pStyle w:val="Heading3"/>
        <w:rPr>
          <w:b w:val="1"/>
          <w:color w:val="000000"/>
          <w:sz w:val="26"/>
          <w:szCs w:val="26"/>
        </w:rPr>
      </w:pPr>
      <w:bookmarkStart w:colFirst="0" w:colLast="0" w:name="_175wr2rjuuvf"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6">
      <w:pPr>
        <w:numPr>
          <w:ilvl w:val="0"/>
          <w:numId w:val="8"/>
        </w:numPr>
        <w:spacing w:before="200" w:lineRule="auto"/>
        <w:ind w:left="720" w:hanging="360"/>
        <w:rPr/>
      </w:pPr>
      <w:r w:rsidDel="00000000" w:rsidR="00000000" w:rsidRPr="00000000">
        <w:rPr>
          <w:b w:val="1"/>
          <w:rtl w:val="0"/>
        </w:rPr>
        <w:t xml:space="preserve">Integration: </w:t>
      </w:r>
      <w:r w:rsidDel="00000000" w:rsidR="00000000" w:rsidRPr="00000000">
        <w:rPr>
          <w:rtl w:val="0"/>
        </w:rPr>
        <w:t xml:space="preserve">Ease of connecting with existing privacy/security toolchain, minimal staff overhead for adoption.  </w:t>
      </w:r>
    </w:p>
    <w:p w:rsidR="00000000" w:rsidDel="00000000" w:rsidP="00000000" w:rsidRDefault="00000000" w:rsidRPr="00000000" w14:paraId="000000F7">
      <w:pPr>
        <w:numPr>
          <w:ilvl w:val="0"/>
          <w:numId w:val="8"/>
        </w:numPr>
        <w:ind w:left="720" w:hanging="360"/>
        <w:rPr/>
      </w:pPr>
      <w:r w:rsidDel="00000000" w:rsidR="00000000" w:rsidRPr="00000000">
        <w:rPr>
          <w:b w:val="1"/>
          <w:rtl w:val="0"/>
        </w:rPr>
        <w:t xml:space="preserve">Performance:</w:t>
      </w:r>
      <w:r w:rsidDel="00000000" w:rsidR="00000000" w:rsidRPr="00000000">
        <w:rPr>
          <w:rtl w:val="0"/>
        </w:rPr>
        <w:t xml:space="preserve"> Low overhead on large or distributed data infrastructures.  </w:t>
      </w:r>
    </w:p>
    <w:p w:rsidR="00000000" w:rsidDel="00000000" w:rsidP="00000000" w:rsidRDefault="00000000" w:rsidRPr="00000000" w14:paraId="000000F8">
      <w:pPr>
        <w:numPr>
          <w:ilvl w:val="0"/>
          <w:numId w:val="8"/>
        </w:numPr>
        <w:ind w:left="720" w:hanging="360"/>
        <w:rPr/>
      </w:pPr>
      <w:r w:rsidDel="00000000" w:rsidR="00000000" w:rsidRPr="00000000">
        <w:rPr>
          <w:b w:val="1"/>
          <w:rtl w:val="0"/>
        </w:rPr>
        <w:t xml:space="preserve">Value:</w:t>
      </w:r>
      <w:r w:rsidDel="00000000" w:rsidR="00000000" w:rsidRPr="00000000">
        <w:rPr>
          <w:rtl w:val="0"/>
        </w:rPr>
        <w:t xml:space="preserve"> Cost relative to compliance benefits, risk reductions, brand protection.</w:t>
      </w:r>
    </w:p>
    <w:p w:rsidR="00000000" w:rsidDel="00000000" w:rsidP="00000000" w:rsidRDefault="00000000" w:rsidRPr="00000000" w14:paraId="000000F9">
      <w:pPr>
        <w:pStyle w:val="Heading3"/>
        <w:rPr>
          <w:b w:val="1"/>
          <w:color w:val="000000"/>
          <w:sz w:val="26"/>
          <w:szCs w:val="26"/>
        </w:rPr>
      </w:pPr>
      <w:bookmarkStart w:colFirst="0" w:colLast="0" w:name="_y5q0lfmpzzfj"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A">
      <w:pPr>
        <w:numPr>
          <w:ilvl w:val="0"/>
          <w:numId w:val="28"/>
        </w:numPr>
        <w:spacing w:before="200" w:lineRule="auto"/>
        <w:ind w:left="720" w:hanging="360"/>
        <w:rPr/>
      </w:pPr>
      <w:r w:rsidDel="00000000" w:rsidR="00000000" w:rsidRPr="00000000">
        <w:rPr>
          <w:b w:val="1"/>
          <w:rtl w:val="0"/>
        </w:rPr>
        <w:t xml:space="preserve">References: </w:t>
      </w:r>
      <w:r w:rsidDel="00000000" w:rsidR="00000000" w:rsidRPr="00000000">
        <w:rPr>
          <w:rtl w:val="0"/>
        </w:rPr>
        <w:t xml:space="preserve">Strong track record in similarly regulated or large-scale deployments.  </w:t>
      </w:r>
    </w:p>
    <w:p w:rsidR="00000000" w:rsidDel="00000000" w:rsidP="00000000" w:rsidRDefault="00000000" w:rsidRPr="00000000" w14:paraId="000000FB">
      <w:pPr>
        <w:numPr>
          <w:ilvl w:val="0"/>
          <w:numId w:val="28"/>
        </w:numPr>
        <w:ind w:left="720" w:hanging="360"/>
        <w:rPr/>
      </w:pPr>
      <w:r w:rsidDel="00000000" w:rsidR="00000000" w:rsidRPr="00000000">
        <w:rPr>
          <w:b w:val="1"/>
          <w:rtl w:val="0"/>
        </w:rPr>
        <w:t xml:space="preserve">Support: </w:t>
      </w:r>
      <w:r w:rsidDel="00000000" w:rsidR="00000000" w:rsidRPr="00000000">
        <w:rPr>
          <w:rtl w:val="0"/>
        </w:rPr>
        <w:t xml:space="preserve">Detailed coverage, local presence if needed, fast escalation response for critical incidents.  </w:t>
      </w:r>
    </w:p>
    <w:p w:rsidR="00000000" w:rsidDel="00000000" w:rsidP="00000000" w:rsidRDefault="00000000" w:rsidRPr="00000000" w14:paraId="000000FC">
      <w:pPr>
        <w:numPr>
          <w:ilvl w:val="0"/>
          <w:numId w:val="28"/>
        </w:numPr>
        <w:ind w:left="720" w:hanging="360"/>
        <w:rPr/>
      </w:pPr>
      <w:r w:rsidDel="00000000" w:rsidR="00000000" w:rsidRPr="00000000">
        <w:rPr>
          <w:b w:val="1"/>
          <w:rtl w:val="0"/>
        </w:rPr>
        <w:t xml:space="preserve">Roadmap: </w:t>
      </w:r>
      <w:r w:rsidDel="00000000" w:rsidR="00000000" w:rsidRPr="00000000">
        <w:rPr>
          <w:rtl w:val="0"/>
        </w:rPr>
        <w:t xml:space="preserve">Ongoing enhancements ensuring solution longevity amidst evolving privacy laws.</w:t>
      </w:r>
    </w:p>
    <w:p w:rsidR="00000000" w:rsidDel="00000000" w:rsidP="00000000" w:rsidRDefault="00000000" w:rsidRPr="00000000" w14:paraId="000000FD">
      <w:pPr>
        <w:pStyle w:val="Heading3"/>
        <w:rPr>
          <w:b w:val="1"/>
          <w:color w:val="000000"/>
          <w:sz w:val="26"/>
          <w:szCs w:val="26"/>
        </w:rPr>
      </w:pPr>
      <w:bookmarkStart w:colFirst="0" w:colLast="0" w:name="_ghq9p4gzntpf"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E">
      <w:pPr>
        <w:numPr>
          <w:ilvl w:val="0"/>
          <w:numId w:val="3"/>
        </w:numPr>
        <w:spacing w:before="200" w:lineRule="auto"/>
        <w:ind w:left="720" w:hanging="360"/>
        <w:rPr/>
      </w:pPr>
      <w:r w:rsidDel="00000000" w:rsidR="00000000" w:rsidRPr="00000000">
        <w:rPr>
          <w:b w:val="1"/>
          <w:rtl w:val="0"/>
        </w:rPr>
        <w:t xml:space="preserve">Scalability: </w:t>
      </w:r>
      <w:r w:rsidDel="00000000" w:rsidR="00000000" w:rsidRPr="00000000">
        <w:rPr>
          <w:rtl w:val="0"/>
        </w:rPr>
        <w:t xml:space="preserve">Plans for expansions, advanced analytics, or additional compliance expansions (other state/federal laws).  </w:t>
      </w:r>
    </w:p>
    <w:p w:rsidR="00000000" w:rsidDel="00000000" w:rsidP="00000000" w:rsidRDefault="00000000" w:rsidRPr="00000000" w14:paraId="000000FF">
      <w:pPr>
        <w:numPr>
          <w:ilvl w:val="0"/>
          <w:numId w:val="3"/>
        </w:numPr>
        <w:ind w:left="720" w:hanging="360"/>
        <w:rPr/>
      </w:pPr>
      <w:r w:rsidDel="00000000" w:rsidR="00000000" w:rsidRPr="00000000">
        <w:rPr>
          <w:b w:val="1"/>
          <w:rtl w:val="0"/>
        </w:rPr>
        <w:t xml:space="preserve">Flexibility:</w:t>
      </w:r>
      <w:r w:rsidDel="00000000" w:rsidR="00000000" w:rsidRPr="00000000">
        <w:rPr>
          <w:rtl w:val="0"/>
        </w:rPr>
        <w:t xml:space="preserve"> Ability to adapt to organizational workflows, custom integrations, or new use cases over time.</w:t>
      </w:r>
    </w:p>
    <w:p w:rsidR="00000000" w:rsidDel="00000000" w:rsidP="00000000" w:rsidRDefault="00000000" w:rsidRPr="00000000" w14:paraId="0000010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pStyle w:val="Heading2"/>
        <w:rPr>
          <w:b w:val="1"/>
          <w:sz w:val="34"/>
          <w:szCs w:val="34"/>
        </w:rPr>
      </w:pPr>
      <w:bookmarkStart w:colFirst="0" w:colLast="0" w:name="_3cnzin16p4ov"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102">
      <w:pPr>
        <w:pStyle w:val="Heading3"/>
        <w:rPr>
          <w:b w:val="1"/>
          <w:color w:val="000000"/>
          <w:sz w:val="26"/>
          <w:szCs w:val="26"/>
        </w:rPr>
      </w:pPr>
      <w:bookmarkStart w:colFirst="0" w:colLast="0" w:name="_r4wm2tqs0wlh"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[Date]</w:t>
            </w:r>
          </w:p>
        </w:tc>
      </w:tr>
    </w:tbl>
    <w:p w:rsidR="00000000" w:rsidDel="00000000" w:rsidP="00000000" w:rsidRDefault="00000000" w:rsidRPr="00000000" w14:paraId="00000113">
      <w:pPr>
        <w:pStyle w:val="Heading3"/>
        <w:rPr>
          <w:b w:val="1"/>
          <w:color w:val="000000"/>
          <w:sz w:val="26"/>
          <w:szCs w:val="26"/>
        </w:rPr>
      </w:pPr>
      <w:bookmarkStart w:colFirst="0" w:colLast="0" w:name="_9nkni4g7jvye"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4">
      <w:pPr>
        <w:numPr>
          <w:ilvl w:val="0"/>
          <w:numId w:val="1"/>
        </w:numPr>
        <w:spacing w:before="200" w:lineRule="auto"/>
        <w:ind w:left="720" w:hanging="360"/>
        <w:rPr/>
      </w:pPr>
      <w:r w:rsidDel="00000000" w:rsidR="00000000" w:rsidRPr="00000000">
        <w:rPr>
          <w:rtl w:val="0"/>
        </w:rPr>
        <w:t xml:space="preserve">Executive Summary (2–3 pages)  </w:t>
      </w:r>
    </w:p>
    <w:p w:rsidR="00000000" w:rsidDel="00000000" w:rsidP="00000000" w:rsidRDefault="00000000" w:rsidRPr="00000000" w14:paraId="00000115">
      <w:pPr>
        <w:numPr>
          <w:ilvl w:val="0"/>
          <w:numId w:val="1"/>
        </w:numPr>
        <w:ind w:left="720" w:hanging="360"/>
        <w:rPr/>
      </w:pPr>
      <w:r w:rsidDel="00000000" w:rsidR="00000000" w:rsidRPr="00000000">
        <w:rPr>
          <w:rtl w:val="0"/>
        </w:rPr>
        <w:t xml:space="preserve">Company Background and NJDPA Expertise  </w:t>
      </w:r>
    </w:p>
    <w:p w:rsidR="00000000" w:rsidDel="00000000" w:rsidP="00000000" w:rsidRDefault="00000000" w:rsidRPr="00000000" w14:paraId="00000116">
      <w:pPr>
        <w:numPr>
          <w:ilvl w:val="0"/>
          <w:numId w:val="1"/>
        </w:numPr>
        <w:ind w:left="720" w:hanging="360"/>
        <w:rPr/>
      </w:pPr>
      <w:r w:rsidDel="00000000" w:rsidR="00000000" w:rsidRPr="00000000">
        <w:rPr>
          <w:rtl w:val="0"/>
        </w:rPr>
        <w:t xml:space="preserve">Technical / Functional Proposal (Section 3 alignment)  </w:t>
      </w:r>
    </w:p>
    <w:p w:rsidR="00000000" w:rsidDel="00000000" w:rsidP="00000000" w:rsidRDefault="00000000" w:rsidRPr="00000000" w14:paraId="00000117">
      <w:pPr>
        <w:numPr>
          <w:ilvl w:val="0"/>
          <w:numId w:val="1"/>
        </w:numPr>
        <w:ind w:left="720" w:hanging="360"/>
        <w:rPr/>
      </w:pPr>
      <w:r w:rsidDel="00000000" w:rsidR="00000000" w:rsidRPr="00000000">
        <w:rPr>
          <w:rtl w:val="0"/>
        </w:rPr>
        <w:t xml:space="preserve">Implementation Plan and Timeline  </w:t>
      </w:r>
    </w:p>
    <w:p w:rsidR="00000000" w:rsidDel="00000000" w:rsidP="00000000" w:rsidRDefault="00000000" w:rsidRPr="00000000" w14:paraId="00000118">
      <w:pPr>
        <w:numPr>
          <w:ilvl w:val="0"/>
          <w:numId w:val="1"/>
        </w:numPr>
        <w:ind w:left="720" w:hanging="360"/>
        <w:rPr/>
      </w:pPr>
      <w:r w:rsidDel="00000000" w:rsidR="00000000" w:rsidRPr="00000000">
        <w:rPr>
          <w:rtl w:val="0"/>
        </w:rPr>
        <w:t xml:space="preserve">Pricing and Licensing Model  </w:t>
      </w:r>
    </w:p>
    <w:p w:rsidR="00000000" w:rsidDel="00000000" w:rsidP="00000000" w:rsidRDefault="00000000" w:rsidRPr="00000000" w14:paraId="00000119">
      <w:pPr>
        <w:numPr>
          <w:ilvl w:val="0"/>
          <w:numId w:val="1"/>
        </w:numPr>
        <w:ind w:left="720" w:hanging="360"/>
        <w:rPr/>
      </w:pPr>
      <w:r w:rsidDel="00000000" w:rsidR="00000000" w:rsidRPr="00000000">
        <w:rPr>
          <w:rtl w:val="0"/>
        </w:rPr>
        <w:t xml:space="preserve">References, Case Studies, and Certifications  </w:t>
      </w:r>
    </w:p>
    <w:p w:rsidR="00000000" w:rsidDel="00000000" w:rsidP="00000000" w:rsidRDefault="00000000" w:rsidRPr="00000000" w14:paraId="0000011A">
      <w:pPr>
        <w:numPr>
          <w:ilvl w:val="0"/>
          <w:numId w:val="1"/>
        </w:numPr>
        <w:ind w:left="720" w:hanging="360"/>
        <w:rPr/>
      </w:pPr>
      <w:r w:rsidDel="00000000" w:rsidR="00000000" w:rsidRPr="00000000">
        <w:rPr>
          <w:rtl w:val="0"/>
        </w:rPr>
        <w:t xml:space="preserve">Appendices (if needed)</w:t>
      </w:r>
    </w:p>
    <w:p w:rsidR="00000000" w:rsidDel="00000000" w:rsidP="00000000" w:rsidRDefault="00000000" w:rsidRPr="00000000" w14:paraId="0000011B">
      <w:pPr>
        <w:pStyle w:val="Heading3"/>
        <w:rPr>
          <w:b w:val="1"/>
          <w:color w:val="000000"/>
          <w:sz w:val="26"/>
          <w:szCs w:val="26"/>
        </w:rPr>
      </w:pPr>
      <w:bookmarkStart w:colFirst="0" w:colLast="0" w:name="_ma58h6n9ob9k"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C">
      <w:pPr>
        <w:numPr>
          <w:ilvl w:val="0"/>
          <w:numId w:val="11"/>
        </w:numPr>
        <w:spacing w:before="200" w:lineRule="auto"/>
        <w:ind w:left="720" w:hanging="360"/>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D">
      <w:pPr>
        <w:numPr>
          <w:ilvl w:val="0"/>
          <w:numId w:val="11"/>
        </w:numPr>
        <w:ind w:left="720" w:hanging="360"/>
        <w:rPr/>
      </w:pPr>
      <w:r w:rsidDel="00000000" w:rsidR="00000000" w:rsidRPr="00000000">
        <w:rPr>
          <w:rtl w:val="0"/>
        </w:rPr>
        <w:t xml:space="preserve">Submit questions by the Q&amp;A deadline; official clarifications will be shared with all participants to ensure fairness.</w:t>
      </w:r>
    </w:p>
    <w:p w:rsidR="00000000" w:rsidDel="00000000" w:rsidP="00000000" w:rsidRDefault="00000000" w:rsidRPr="00000000" w14:paraId="0000011E">
      <w:pPr>
        <w:pStyle w:val="Heading3"/>
        <w:rPr>
          <w:b w:val="1"/>
          <w:color w:val="000000"/>
          <w:sz w:val="26"/>
          <w:szCs w:val="26"/>
        </w:rPr>
      </w:pPr>
      <w:bookmarkStart w:colFirst="0" w:colLast="0" w:name="_t8sv3iyjtiwp"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F">
      <w:pPr>
        <w:numPr>
          <w:ilvl w:val="0"/>
          <w:numId w:val="38"/>
        </w:numPr>
        <w:spacing w:before="200" w:lineRule="auto"/>
        <w:ind w:left="720" w:hanging="360"/>
        <w:rPr/>
      </w:pPr>
      <w:r w:rsidDel="00000000" w:rsidR="00000000" w:rsidRPr="00000000">
        <w:rPr>
          <w:rtl w:val="0"/>
        </w:rPr>
        <w:t xml:space="preserve">A multi-disciplinary evaluation team (legal, privacy, IT, security) will review proposals based on compliance coverage, functionality, cost, references, and vendor reliability.  </w:t>
      </w:r>
    </w:p>
    <w:p w:rsidR="00000000" w:rsidDel="00000000" w:rsidP="00000000" w:rsidRDefault="00000000" w:rsidRPr="00000000" w14:paraId="00000120">
      <w:pPr>
        <w:numPr>
          <w:ilvl w:val="0"/>
          <w:numId w:val="38"/>
        </w:numPr>
        <w:ind w:left="720" w:hanging="360"/>
        <w:rPr/>
      </w:pPr>
      <w:r w:rsidDel="00000000" w:rsidR="00000000" w:rsidRPr="00000000">
        <w:rPr>
          <w:rtl w:val="0"/>
        </w:rPr>
        <w:t xml:space="preserve">Shortlisted vendors may be requested to present demonstrations, proofs-of-concept, or deeper architectural reviews.  </w:t>
      </w:r>
    </w:p>
    <w:p w:rsidR="00000000" w:rsidDel="00000000" w:rsidP="00000000" w:rsidRDefault="00000000" w:rsidRPr="00000000" w14:paraId="00000121">
      <w:pPr>
        <w:numPr>
          <w:ilvl w:val="0"/>
          <w:numId w:val="38"/>
        </w:numPr>
        <w:ind w:left="720" w:hanging="360"/>
        <w:rPr/>
      </w:pPr>
      <w:r w:rsidDel="00000000" w:rsidR="00000000" w:rsidRPr="00000000">
        <w:rPr>
          <w:rtl w:val="0"/>
        </w:rPr>
        <w:t xml:space="preserve">Award depends on successful contract negotiations and alignment with organizational NDJPA compliance goals.</w:t>
      </w:r>
    </w:p>
    <w:p w:rsidR="00000000" w:rsidDel="00000000" w:rsidP="00000000" w:rsidRDefault="00000000" w:rsidRPr="00000000" w14:paraId="0000012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3">
      <w:pPr>
        <w:pStyle w:val="Heading2"/>
        <w:rPr>
          <w:b w:val="1"/>
          <w:sz w:val="34"/>
          <w:szCs w:val="34"/>
        </w:rPr>
      </w:pPr>
      <w:bookmarkStart w:colFirst="0" w:colLast="0" w:name="_nbc6irnh1vp3"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4">
      <w:pPr>
        <w:pStyle w:val="Heading3"/>
        <w:rPr>
          <w:b w:val="1"/>
          <w:color w:val="000000"/>
          <w:sz w:val="26"/>
          <w:szCs w:val="26"/>
        </w:rPr>
      </w:pPr>
      <w:bookmarkStart w:colFirst="0" w:colLast="0" w:name="_v1pbgviw87vf"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5">
      <w:pPr>
        <w:numPr>
          <w:ilvl w:val="0"/>
          <w:numId w:val="34"/>
        </w:numPr>
        <w:spacing w:before="200" w:lineRule="auto"/>
        <w:ind w:left="720" w:hanging="360"/>
        <w:rPr/>
      </w:pPr>
      <w:r w:rsidDel="00000000" w:rsidR="00000000" w:rsidRPr="00000000">
        <w:rPr>
          <w:rtl w:val="0"/>
        </w:rPr>
        <w:t xml:space="preserve">All RFP documents and subsequent communications are confidential; NDAs may be required.  </w:t>
      </w:r>
    </w:p>
    <w:p w:rsidR="00000000" w:rsidDel="00000000" w:rsidP="00000000" w:rsidRDefault="00000000" w:rsidRPr="00000000" w14:paraId="00000126">
      <w:pPr>
        <w:numPr>
          <w:ilvl w:val="0"/>
          <w:numId w:val="34"/>
        </w:numPr>
        <w:ind w:left="720" w:hanging="360"/>
        <w:rPr/>
      </w:pPr>
      <w:r w:rsidDel="00000000" w:rsidR="00000000" w:rsidRPr="00000000">
        <w:rPr>
          <w:rtl w:val="0"/>
        </w:rPr>
        <w:t xml:space="preserve">Any shared data or information must be handled in line with robust data protection obligations.</w:t>
      </w:r>
    </w:p>
    <w:p w:rsidR="00000000" w:rsidDel="00000000" w:rsidP="00000000" w:rsidRDefault="00000000" w:rsidRPr="00000000" w14:paraId="00000127">
      <w:pPr>
        <w:pStyle w:val="Heading3"/>
        <w:rPr>
          <w:b w:val="1"/>
          <w:color w:val="000000"/>
          <w:sz w:val="26"/>
          <w:szCs w:val="26"/>
        </w:rPr>
      </w:pPr>
      <w:bookmarkStart w:colFirst="0" w:colLast="0" w:name="_hkkqky7srmpq"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8">
      <w:pPr>
        <w:numPr>
          <w:ilvl w:val="0"/>
          <w:numId w:val="16"/>
        </w:numPr>
        <w:spacing w:before="200" w:lineRule="auto"/>
        <w:ind w:left="720" w:hanging="360"/>
        <w:rPr/>
      </w:pPr>
      <w:r w:rsidDel="00000000" w:rsidR="00000000" w:rsidRPr="00000000">
        <w:rPr>
          <w:rtl w:val="0"/>
        </w:rPr>
        <w:t xml:space="preserve">Cyber liability insurance is compulsory for the vendor.  </w:t>
      </w:r>
    </w:p>
    <w:p w:rsidR="00000000" w:rsidDel="00000000" w:rsidP="00000000" w:rsidRDefault="00000000" w:rsidRPr="00000000" w14:paraId="00000129">
      <w:pPr>
        <w:numPr>
          <w:ilvl w:val="0"/>
          <w:numId w:val="16"/>
        </w:numPr>
        <w:ind w:left="720" w:hanging="360"/>
        <w:rPr/>
      </w:pPr>
      <w:r w:rsidDel="00000000" w:rsidR="00000000" w:rsidRPr="00000000">
        <w:rPr>
          <w:rtl w:val="0"/>
        </w:rPr>
        <w:t xml:space="preserve">Indemnification clauses protecting us from damages stemming from vendor negligence or product vulnerabilities.</w:t>
      </w:r>
    </w:p>
    <w:p w:rsidR="00000000" w:rsidDel="00000000" w:rsidP="00000000" w:rsidRDefault="00000000" w:rsidRPr="00000000" w14:paraId="0000012A">
      <w:pPr>
        <w:pStyle w:val="Heading3"/>
        <w:rPr>
          <w:b w:val="1"/>
          <w:color w:val="000000"/>
          <w:sz w:val="26"/>
          <w:szCs w:val="26"/>
        </w:rPr>
      </w:pPr>
      <w:bookmarkStart w:colFirst="0" w:colLast="0" w:name="_66j9ap62dnil"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B">
      <w:pPr>
        <w:numPr>
          <w:ilvl w:val="0"/>
          <w:numId w:val="23"/>
        </w:numPr>
        <w:spacing w:before="200" w:lineRule="auto"/>
        <w:ind w:left="720" w:hanging="360"/>
        <w:rPr/>
      </w:pPr>
      <w:r w:rsidDel="00000000" w:rsidR="00000000" w:rsidRPr="00000000">
        <w:rPr>
          <w:rtl w:val="0"/>
        </w:rPr>
        <w:t xml:space="preserve">Typically 1–3 year term with negotiated renewal or extension.  </w:t>
      </w:r>
    </w:p>
    <w:p w:rsidR="00000000" w:rsidDel="00000000" w:rsidP="00000000" w:rsidRDefault="00000000" w:rsidRPr="00000000" w14:paraId="0000012C">
      <w:pPr>
        <w:numPr>
          <w:ilvl w:val="0"/>
          <w:numId w:val="23"/>
        </w:numPr>
        <w:ind w:left="720" w:hanging="360"/>
        <w:rPr/>
      </w:pPr>
      <w:r w:rsidDel="00000000" w:rsidR="00000000" w:rsidRPr="00000000">
        <w:rPr>
          <w:rtl w:val="0"/>
        </w:rPr>
        <w:t xml:space="preserve">Early termination if the vendor fails to maintain essential SLAs or NDJPA compliance obligations.</w:t>
      </w:r>
    </w:p>
    <w:p w:rsidR="00000000" w:rsidDel="00000000" w:rsidP="00000000" w:rsidRDefault="00000000" w:rsidRPr="00000000" w14:paraId="0000012D">
      <w:pPr>
        <w:pStyle w:val="Heading3"/>
        <w:rPr>
          <w:b w:val="1"/>
          <w:color w:val="000000"/>
          <w:sz w:val="26"/>
          <w:szCs w:val="26"/>
        </w:rPr>
      </w:pPr>
      <w:bookmarkStart w:colFirst="0" w:colLast="0" w:name="_qz9x8encn0vn"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E">
      <w:pPr>
        <w:numPr>
          <w:ilvl w:val="0"/>
          <w:numId w:val="30"/>
        </w:numPr>
        <w:spacing w:before="200" w:lineRule="auto"/>
        <w:ind w:left="720" w:hanging="360"/>
        <w:rPr/>
      </w:pPr>
      <w:r w:rsidDel="00000000" w:rsidR="00000000" w:rsidRPr="00000000">
        <w:rPr>
          <w:rtl w:val="0"/>
        </w:rPr>
        <w:t xml:space="preserve">Pre-existing Vendor IP remains vendor-owned.  </w:t>
      </w:r>
    </w:p>
    <w:p w:rsidR="00000000" w:rsidDel="00000000" w:rsidP="00000000" w:rsidRDefault="00000000" w:rsidRPr="00000000" w14:paraId="0000012F">
      <w:pPr>
        <w:numPr>
          <w:ilvl w:val="0"/>
          <w:numId w:val="30"/>
        </w:numPr>
        <w:ind w:left="720" w:hanging="360"/>
        <w:rPr/>
      </w:pPr>
      <w:r w:rsidDel="00000000" w:rsidR="00000000" w:rsidRPr="00000000">
        <w:rPr>
          <w:rtl w:val="0"/>
        </w:rPr>
        <w:t xml:space="preserve">Custom or co-developed features or integrations may be addressed through separate licensing or ownership agreements.</w:t>
      </w:r>
    </w:p>
    <w:p w:rsidR="00000000" w:rsidDel="00000000" w:rsidP="00000000" w:rsidRDefault="00000000" w:rsidRPr="00000000" w14:paraId="00000130">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1">
      <w:pPr>
        <w:pStyle w:val="Heading2"/>
        <w:rPr>
          <w:b w:val="1"/>
          <w:sz w:val="34"/>
          <w:szCs w:val="34"/>
        </w:rPr>
      </w:pPr>
      <w:bookmarkStart w:colFirst="0" w:colLast="0" w:name="_htougqnocuv1"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32">
      <w:pPr>
        <w:numPr>
          <w:ilvl w:val="0"/>
          <w:numId w:val="14"/>
        </w:numPr>
        <w:spacing w:before="200" w:lineRule="auto"/>
        <w:ind w:left="720" w:hanging="360"/>
        <w:rPr>
          <w:u w:val="none"/>
        </w:rPr>
      </w:pPr>
      <w:r w:rsidDel="00000000" w:rsidR="00000000" w:rsidRPr="00000000">
        <w:rPr>
          <w:b w:val="1"/>
          <w:rtl w:val="0"/>
        </w:rPr>
        <w:t xml:space="preserve">Detailed NJDPA Requirements Mapping:</w:t>
      </w:r>
      <w:r w:rsidDel="00000000" w:rsidR="00000000" w:rsidRPr="00000000">
        <w:rPr>
          <w:rtl w:val="0"/>
        </w:rPr>
        <w:t xml:space="preserve"> Outline solution alignment with each major Act provision.  </w:t>
      </w:r>
    </w:p>
    <w:p w:rsidR="00000000" w:rsidDel="00000000" w:rsidP="00000000" w:rsidRDefault="00000000" w:rsidRPr="00000000" w14:paraId="00000133">
      <w:pPr>
        <w:numPr>
          <w:ilvl w:val="0"/>
          <w:numId w:val="14"/>
        </w:numPr>
        <w:ind w:left="720" w:hanging="360"/>
        <w:rPr>
          <w:u w:val="none"/>
        </w:rPr>
      </w:pPr>
      <w:r w:rsidDel="00000000" w:rsidR="00000000" w:rsidRPr="00000000">
        <w:rPr>
          <w:b w:val="1"/>
          <w:rtl w:val="0"/>
        </w:rPr>
        <w:t xml:space="preserve">Data Flow Diagrams: </w:t>
      </w:r>
      <w:r w:rsidDel="00000000" w:rsidR="00000000" w:rsidRPr="00000000">
        <w:rPr>
          <w:rtl w:val="0"/>
        </w:rPr>
        <w:t xml:space="preserve">Summaries of relevant data sources, external integrations, or specialized usage patterns.  </w:t>
      </w:r>
    </w:p>
    <w:p w:rsidR="00000000" w:rsidDel="00000000" w:rsidP="00000000" w:rsidRDefault="00000000" w:rsidRPr="00000000" w14:paraId="00000134">
      <w:pPr>
        <w:numPr>
          <w:ilvl w:val="0"/>
          <w:numId w:val="14"/>
        </w:numPr>
        <w:ind w:left="720" w:hanging="360"/>
        <w:rPr>
          <w:u w:val="none"/>
        </w:rPr>
      </w:pPr>
      <w:r w:rsidDel="00000000" w:rsidR="00000000" w:rsidRPr="00000000">
        <w:rPr>
          <w:b w:val="1"/>
          <w:rtl w:val="0"/>
        </w:rPr>
        <w:t xml:space="preserve">Sample Contract or MSA: </w:t>
      </w:r>
      <w:r w:rsidDel="00000000" w:rsidR="00000000" w:rsidRPr="00000000">
        <w:rPr>
          <w:rtl w:val="0"/>
        </w:rPr>
        <w:t xml:space="preserve">If your organization typically uses standardized contractual language.  </w:t>
      </w:r>
    </w:p>
    <w:p w:rsidR="00000000" w:rsidDel="00000000" w:rsidP="00000000" w:rsidRDefault="00000000" w:rsidRPr="00000000" w14:paraId="00000135">
      <w:pPr>
        <w:numPr>
          <w:ilvl w:val="0"/>
          <w:numId w:val="14"/>
        </w:numPr>
        <w:ind w:left="720" w:hanging="360"/>
        <w:rPr>
          <w:u w:val="none"/>
        </w:rPr>
      </w:pPr>
      <w:r w:rsidDel="00000000" w:rsidR="00000000" w:rsidRPr="00000000">
        <w:rPr>
          <w:b w:val="1"/>
          <w:rtl w:val="0"/>
        </w:rPr>
        <w:t xml:space="preserve">Policy Overviews: </w:t>
      </w:r>
      <w:r w:rsidDel="00000000" w:rsidR="00000000" w:rsidRPr="00000000">
        <w:rPr>
          <w:rtl w:val="0"/>
        </w:rPr>
        <w:t xml:space="preserve">References to internal data protection or privacy policies relevant to NDJPA compliance.</w:t>
      </w:r>
    </w:p>
    <w:p w:rsidR="00000000" w:rsidDel="00000000" w:rsidP="00000000" w:rsidRDefault="00000000" w:rsidRPr="00000000" w14:paraId="0000013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pStyle w:val="Heading2"/>
        <w:rPr>
          <w:b w:val="1"/>
          <w:sz w:val="34"/>
          <w:szCs w:val="34"/>
        </w:rPr>
      </w:pPr>
      <w:bookmarkStart w:colFirst="0" w:colLast="0" w:name="_xx6x5xiavgpv"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8">
      <w:pPr>
        <w:spacing w:before="200" w:lineRule="auto"/>
        <w:rPr/>
      </w:pPr>
      <w:r w:rsidDel="00000000" w:rsidR="00000000" w:rsidRPr="00000000">
        <w:rPr>
          <w:rtl w:val="0"/>
        </w:rPr>
        <w:t xml:space="preserve">This long-form RFP template sets the stage for selecting a data privacy and security solution aligned with the New Jersey Data Privacy Act (NJDPA). By emphasizing agentless, real-time data discovery, consumer rights automation, continuous risk monitoring, and incident response, the solution should ensure personal data protection and enable transparent, efficient compliance.</w:t>
      </w:r>
    </w:p>
    <w:p w:rsidR="00000000" w:rsidDel="00000000" w:rsidP="00000000" w:rsidRDefault="00000000" w:rsidRPr="00000000" w14:paraId="00000139">
      <w:pPr>
        <w:spacing w:before="200" w:lineRule="auto"/>
        <w:rPr/>
      </w:pPr>
      <w:r w:rsidDel="00000000" w:rsidR="00000000" w:rsidRPr="00000000">
        <w:rPr>
          <w:rtl w:val="0"/>
        </w:rPr>
        <w:t xml:space="preserve">Vendors must demonstrate:</w:t>
      </w:r>
    </w:p>
    <w:p w:rsidR="00000000" w:rsidDel="00000000" w:rsidP="00000000" w:rsidRDefault="00000000" w:rsidRPr="00000000" w14:paraId="0000013A">
      <w:pPr>
        <w:numPr>
          <w:ilvl w:val="0"/>
          <w:numId w:val="21"/>
        </w:numPr>
        <w:spacing w:before="200" w:lineRule="auto"/>
        <w:ind w:left="720" w:hanging="360"/>
        <w:rPr/>
      </w:pPr>
      <w:r w:rsidDel="00000000" w:rsidR="00000000" w:rsidRPr="00000000">
        <w:rPr>
          <w:rtl w:val="0"/>
        </w:rPr>
        <w:t xml:space="preserve">Comprehensive data scanning and classification,  </w:t>
      </w:r>
    </w:p>
    <w:p w:rsidR="00000000" w:rsidDel="00000000" w:rsidP="00000000" w:rsidRDefault="00000000" w:rsidRPr="00000000" w14:paraId="0000013B">
      <w:pPr>
        <w:numPr>
          <w:ilvl w:val="0"/>
          <w:numId w:val="21"/>
        </w:numPr>
        <w:ind w:left="720" w:hanging="360"/>
        <w:rPr/>
      </w:pPr>
      <w:r w:rsidDel="00000000" w:rsidR="00000000" w:rsidRPr="00000000">
        <w:rPr>
          <w:rtl w:val="0"/>
        </w:rPr>
        <w:t xml:space="preserve">Automated or guided DSR workflows to fulfill consumer rights requests swiftly,  </w:t>
      </w:r>
    </w:p>
    <w:p w:rsidR="00000000" w:rsidDel="00000000" w:rsidP="00000000" w:rsidRDefault="00000000" w:rsidRPr="00000000" w14:paraId="0000013C">
      <w:pPr>
        <w:numPr>
          <w:ilvl w:val="0"/>
          <w:numId w:val="21"/>
        </w:numPr>
        <w:ind w:left="720" w:hanging="360"/>
        <w:rPr/>
      </w:pPr>
      <w:r w:rsidDel="00000000" w:rsidR="00000000" w:rsidRPr="00000000">
        <w:rPr>
          <w:rtl w:val="0"/>
        </w:rPr>
        <w:t xml:space="preserve">Advanced security to detect and address unauthorized data usage or potential exfiltrations,  </w:t>
      </w:r>
    </w:p>
    <w:p w:rsidR="00000000" w:rsidDel="00000000" w:rsidP="00000000" w:rsidRDefault="00000000" w:rsidRPr="00000000" w14:paraId="0000013D">
      <w:pPr>
        <w:numPr>
          <w:ilvl w:val="0"/>
          <w:numId w:val="21"/>
        </w:numPr>
        <w:ind w:left="720" w:hanging="360"/>
        <w:rPr/>
      </w:pPr>
      <w:r w:rsidDel="00000000" w:rsidR="00000000" w:rsidRPr="00000000">
        <w:rPr>
          <w:rtl w:val="0"/>
        </w:rPr>
        <w:t xml:space="preserve">Scalability to adapt as new data sources and regulatory demands arise.</w:t>
      </w:r>
    </w:p>
    <w:p w:rsidR="00000000" w:rsidDel="00000000" w:rsidP="00000000" w:rsidRDefault="00000000" w:rsidRPr="00000000" w14:paraId="0000013E">
      <w:pPr>
        <w:spacing w:before="200" w:lineRule="auto"/>
        <w:rPr/>
      </w:pPr>
      <w:r w:rsidDel="00000000" w:rsidR="00000000" w:rsidRPr="00000000">
        <w:rPr>
          <w:rtl w:val="0"/>
        </w:rPr>
        <w:t xml:space="preserve">Ultimately, our organization seeks a long-term partner that sustains NDJPA compliance, minimizes compliance overhead, and maintains consumer trust via a rigorous approach to data privacy and security.</w:t>
      </w:r>
    </w:p>
    <w:p w:rsidR="00000000" w:rsidDel="00000000" w:rsidP="00000000" w:rsidRDefault="00000000" w:rsidRPr="00000000" w14:paraId="0000013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0">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is for general guidance. Each organization should tailor its content to match specific data operations, legal obligations, and internal governance under the New Jersey Data Privacy Act. Always consult legal and privacy professionals before finalizing an RFP or contractual documents regarding NDJPA compliance.</w:t>
      </w:r>
    </w:p>
    <w:p w:rsidR="00000000" w:rsidDel="00000000" w:rsidP="00000000" w:rsidRDefault="00000000" w:rsidRPr="00000000" w14:paraId="000001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