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Below is a long-form RFP (Request for Proposal) template designed </w:t>
      </w:r>
      <w:r w:rsidDel="00000000" w:rsidR="00000000" w:rsidRPr="00000000">
        <w:rPr>
          <w:b w:val="1"/>
          <w:rtl w:val="0"/>
        </w:rPr>
        <w:t xml:space="preserve">to address the core requirements and obligations under the Maryland Online Data Privacy Act (MODPA)</w:t>
      </w:r>
      <w:r w:rsidDel="00000000" w:rsidR="00000000" w:rsidRPr="00000000">
        <w:rPr>
          <w:rtl w:val="0"/>
        </w:rPr>
        <w:t xml:space="preserve">. Feel free to tailor the sections to align with your unique data environment, privacy goals, and compliance strategy.</w:t>
      </w:r>
    </w:p>
    <w:p w:rsidR="00000000" w:rsidDel="00000000" w:rsidP="00000000" w:rsidRDefault="00000000" w:rsidRPr="00000000" w14:paraId="00000002">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2"/>
        <w:rPr>
          <w:b w:val="1"/>
          <w:sz w:val="34"/>
          <w:szCs w:val="34"/>
        </w:rPr>
      </w:pPr>
      <w:bookmarkStart w:colFirst="0" w:colLast="0" w:name="_2678p0ur1jfq" w:id="0"/>
      <w:bookmarkEnd w:id="0"/>
      <w:r w:rsidDel="00000000" w:rsidR="00000000" w:rsidRPr="00000000">
        <w:rPr>
          <w:b w:val="1"/>
          <w:sz w:val="34"/>
          <w:szCs w:val="34"/>
          <w:rtl w:val="0"/>
        </w:rPr>
        <w:t xml:space="preserve"> Table of Contents</w:t>
      </w:r>
    </w:p>
    <w:p w:rsidR="00000000" w:rsidDel="00000000" w:rsidP="00000000" w:rsidRDefault="00000000" w:rsidRPr="00000000" w14:paraId="00000004">
      <w:pPr>
        <w:numPr>
          <w:ilvl w:val="0"/>
          <w:numId w:val="30"/>
        </w:numPr>
        <w:ind w:left="720" w:hanging="360"/>
        <w:rPr/>
      </w:pPr>
      <w:r w:rsidDel="00000000" w:rsidR="00000000" w:rsidRPr="00000000">
        <w:rPr>
          <w:b w:val="1"/>
          <w:rtl w:val="0"/>
        </w:rPr>
        <w:t xml:space="preserve">Introduction and Overview </w:t>
      </w:r>
      <w:r w:rsidDel="00000000" w:rsidR="00000000" w:rsidRPr="00000000">
        <w:rPr>
          <w:rtl w:val="0"/>
        </w:rPr>
        <w:t xml:space="preserve"> </w:t>
      </w:r>
    </w:p>
    <w:p w:rsidR="00000000" w:rsidDel="00000000" w:rsidP="00000000" w:rsidRDefault="00000000" w:rsidRPr="00000000" w14:paraId="00000005">
      <w:pPr>
        <w:ind w:left="720" w:firstLine="0"/>
        <w:rPr/>
      </w:pPr>
      <w:r w:rsidDel="00000000" w:rsidR="00000000" w:rsidRPr="00000000">
        <w:rPr>
          <w:rtl w:val="0"/>
        </w:rPr>
        <w:t xml:space="preserve">1.1 Purpose of the RFP  </w:t>
      </w:r>
    </w:p>
    <w:p w:rsidR="00000000" w:rsidDel="00000000" w:rsidP="00000000" w:rsidRDefault="00000000" w:rsidRPr="00000000" w14:paraId="00000006">
      <w:pPr>
        <w:ind w:left="720" w:firstLine="0"/>
        <w:rPr/>
      </w:pPr>
      <w:r w:rsidDel="00000000" w:rsidR="00000000" w:rsidRPr="00000000">
        <w:rPr>
          <w:rtl w:val="0"/>
        </w:rPr>
        <w:t xml:space="preserve">1.2 Background on the Maryland Online Data Privacy Act (MODPA)  </w:t>
      </w:r>
    </w:p>
    <w:p w:rsidR="00000000" w:rsidDel="00000000" w:rsidP="00000000" w:rsidRDefault="00000000" w:rsidRPr="00000000" w14:paraId="00000007">
      <w:pPr>
        <w:ind w:left="720" w:firstLine="0"/>
        <w:rPr/>
      </w:pPr>
      <w:r w:rsidDel="00000000" w:rsidR="00000000" w:rsidRPr="00000000">
        <w:rPr>
          <w:rtl w:val="0"/>
        </w:rPr>
        <w:t xml:space="preserve">1.3 Organizational Context and Current Challenges  </w:t>
      </w:r>
    </w:p>
    <w:p w:rsidR="00000000" w:rsidDel="00000000" w:rsidP="00000000" w:rsidRDefault="00000000" w:rsidRPr="00000000" w14:paraId="00000008">
      <w:pPr>
        <w:ind w:left="720" w:firstLine="0"/>
        <w:rPr/>
      </w:pPr>
      <w:r w:rsidDel="00000000" w:rsidR="00000000" w:rsidRPr="00000000">
        <w:rPr>
          <w:rtl w:val="0"/>
        </w:rPr>
        <w:t xml:space="preserve">1.4 Objectives and Success Criteria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numPr>
          <w:ilvl w:val="0"/>
          <w:numId w:val="30"/>
        </w:numPr>
        <w:ind w:left="720" w:hanging="360"/>
        <w:rPr>
          <w:b w:val="1"/>
        </w:rPr>
      </w:pPr>
      <w:r w:rsidDel="00000000" w:rsidR="00000000" w:rsidRPr="00000000">
        <w:rPr>
          <w:b w:val="1"/>
          <w:rtl w:val="0"/>
        </w:rPr>
        <w:t xml:space="preserve">Scope of RFP  </w:t>
      </w:r>
    </w:p>
    <w:p w:rsidR="00000000" w:rsidDel="00000000" w:rsidP="00000000" w:rsidRDefault="00000000" w:rsidRPr="00000000" w14:paraId="0000000B">
      <w:pPr>
        <w:ind w:left="720" w:firstLine="0"/>
        <w:rPr/>
      </w:pPr>
      <w:r w:rsidDel="00000000" w:rsidR="00000000" w:rsidRPr="00000000">
        <w:rPr>
          <w:rtl w:val="0"/>
        </w:rPr>
        <w:t xml:space="preserve">2.1 In-Scope Systems and Data Types  </w:t>
      </w:r>
    </w:p>
    <w:p w:rsidR="00000000" w:rsidDel="00000000" w:rsidP="00000000" w:rsidRDefault="00000000" w:rsidRPr="00000000" w14:paraId="0000000C">
      <w:pPr>
        <w:ind w:left="720" w:firstLine="0"/>
        <w:rPr/>
      </w:pPr>
      <w:r w:rsidDel="00000000" w:rsidR="00000000" w:rsidRPr="00000000">
        <w:rPr>
          <w:rtl w:val="0"/>
        </w:rPr>
        <w:t xml:space="preserve">2.2 MODPA Compliance Obligations  </w:t>
      </w:r>
    </w:p>
    <w:p w:rsidR="00000000" w:rsidDel="00000000" w:rsidP="00000000" w:rsidRDefault="00000000" w:rsidRPr="00000000" w14:paraId="0000000D">
      <w:pPr>
        <w:ind w:left="720" w:firstLine="0"/>
        <w:rPr/>
      </w:pPr>
      <w:r w:rsidDel="00000000" w:rsidR="00000000" w:rsidRPr="00000000">
        <w:rPr>
          <w:rtl w:val="0"/>
        </w:rPr>
        <w:t xml:space="preserve">2.3 Desired Outcomes and Deliverables  </w:t>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numPr>
          <w:ilvl w:val="0"/>
          <w:numId w:val="30"/>
        </w:numPr>
        <w:ind w:left="720" w:hanging="360"/>
        <w:rPr>
          <w:b w:val="1"/>
        </w:rPr>
      </w:pPr>
      <w:r w:rsidDel="00000000" w:rsidR="00000000" w:rsidRPr="00000000">
        <w:rPr>
          <w:b w:val="1"/>
          <w:rtl w:val="0"/>
        </w:rPr>
        <w:t xml:space="preserve">Technical and Functional Requirements  </w:t>
      </w:r>
    </w:p>
    <w:p w:rsidR="00000000" w:rsidDel="00000000" w:rsidP="00000000" w:rsidRDefault="00000000" w:rsidRPr="00000000" w14:paraId="00000010">
      <w:pPr>
        <w:ind w:left="720" w:firstLine="0"/>
        <w:rPr/>
      </w:pPr>
      <w:r w:rsidDel="00000000" w:rsidR="00000000" w:rsidRPr="00000000">
        <w:rPr>
          <w:rtl w:val="0"/>
        </w:rPr>
        <w:t xml:space="preserve">3.1 Agentless Data Discovery and Continuous Monitoring  </w:t>
      </w:r>
    </w:p>
    <w:p w:rsidR="00000000" w:rsidDel="00000000" w:rsidP="00000000" w:rsidRDefault="00000000" w:rsidRPr="00000000" w14:paraId="00000011">
      <w:pPr>
        <w:ind w:left="720" w:firstLine="0"/>
        <w:rPr/>
      </w:pPr>
      <w:r w:rsidDel="00000000" w:rsidR="00000000" w:rsidRPr="00000000">
        <w:rPr>
          <w:rtl w:val="0"/>
        </w:rPr>
        <w:t xml:space="preserve">3.2 Privacy Risk Assessment and Data Classification  </w:t>
      </w:r>
    </w:p>
    <w:p w:rsidR="00000000" w:rsidDel="00000000" w:rsidP="00000000" w:rsidRDefault="00000000" w:rsidRPr="00000000" w14:paraId="00000012">
      <w:pPr>
        <w:ind w:left="720" w:firstLine="0"/>
        <w:rPr/>
      </w:pPr>
      <w:r w:rsidDel="00000000" w:rsidR="00000000" w:rsidRPr="00000000">
        <w:rPr>
          <w:rtl w:val="0"/>
        </w:rPr>
        <w:t xml:space="preserve">3.3 Consumer Rights and Consent Management  </w:t>
      </w:r>
    </w:p>
    <w:p w:rsidR="00000000" w:rsidDel="00000000" w:rsidP="00000000" w:rsidRDefault="00000000" w:rsidRPr="00000000" w14:paraId="00000013">
      <w:pPr>
        <w:ind w:left="720" w:firstLine="0"/>
        <w:rPr/>
      </w:pPr>
      <w:r w:rsidDel="00000000" w:rsidR="00000000" w:rsidRPr="00000000">
        <w:rPr>
          <w:rtl w:val="0"/>
        </w:rPr>
        <w:t xml:space="preserve">3.4 Incident Detection, Notification, and Response  </w:t>
      </w:r>
    </w:p>
    <w:p w:rsidR="00000000" w:rsidDel="00000000" w:rsidP="00000000" w:rsidRDefault="00000000" w:rsidRPr="00000000" w14:paraId="00000014">
      <w:pPr>
        <w:ind w:left="720" w:firstLine="0"/>
        <w:rPr/>
      </w:pPr>
      <w:r w:rsidDel="00000000" w:rsidR="00000000" w:rsidRPr="00000000">
        <w:rPr>
          <w:rtl w:val="0"/>
        </w:rPr>
        <w:t xml:space="preserve">3.5 Governance, Reporting, and Audit Support  </w:t>
      </w:r>
    </w:p>
    <w:p w:rsidR="00000000" w:rsidDel="00000000" w:rsidP="00000000" w:rsidRDefault="00000000" w:rsidRPr="00000000" w14:paraId="00000015">
      <w:pPr>
        <w:ind w:left="720" w:firstLine="0"/>
        <w:rPr/>
      </w:pPr>
      <w:r w:rsidDel="00000000" w:rsidR="00000000" w:rsidRPr="00000000">
        <w:rPr>
          <w:rtl w:val="0"/>
        </w:rPr>
        <w:t xml:space="preserve">3.6 Integration with Existing Security and IT Ecosystems  </w:t>
      </w:r>
    </w:p>
    <w:p w:rsidR="00000000" w:rsidDel="00000000" w:rsidP="00000000" w:rsidRDefault="00000000" w:rsidRPr="00000000" w14:paraId="00000016">
      <w:pPr>
        <w:ind w:left="720" w:firstLine="0"/>
        <w:rPr/>
      </w:pPr>
      <w:r w:rsidDel="00000000" w:rsidR="00000000" w:rsidRPr="00000000">
        <w:rPr>
          <w:rtl w:val="0"/>
        </w:rPr>
        <w:t xml:space="preserve">3.7 Scalability and Future-Readiness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numPr>
          <w:ilvl w:val="0"/>
          <w:numId w:val="30"/>
        </w:numPr>
        <w:ind w:left="720" w:hanging="360"/>
        <w:rPr>
          <w:b w:val="1"/>
        </w:rPr>
      </w:pPr>
      <w:r w:rsidDel="00000000" w:rsidR="00000000" w:rsidRPr="00000000">
        <w:rPr>
          <w:b w:val="1"/>
          <w:rtl w:val="0"/>
        </w:rPr>
        <w:t xml:space="preserve">Implementation and Project Delivery  </w:t>
      </w:r>
    </w:p>
    <w:p w:rsidR="00000000" w:rsidDel="00000000" w:rsidP="00000000" w:rsidRDefault="00000000" w:rsidRPr="00000000" w14:paraId="00000019">
      <w:pPr>
        <w:ind w:left="720" w:firstLine="0"/>
        <w:rPr/>
      </w:pPr>
      <w:r w:rsidDel="00000000" w:rsidR="00000000" w:rsidRPr="00000000">
        <w:rPr>
          <w:rtl w:val="0"/>
        </w:rPr>
        <w:t xml:space="preserve">4.1 Deployment Options (On-Prem, Cloud, Hybrid)  </w:t>
      </w:r>
    </w:p>
    <w:p w:rsidR="00000000" w:rsidDel="00000000" w:rsidP="00000000" w:rsidRDefault="00000000" w:rsidRPr="00000000" w14:paraId="0000001A">
      <w:pPr>
        <w:ind w:left="720" w:firstLine="0"/>
        <w:rPr/>
      </w:pPr>
      <w:r w:rsidDel="00000000" w:rsidR="00000000" w:rsidRPr="00000000">
        <w:rPr>
          <w:rtl w:val="0"/>
        </w:rPr>
        <w:t xml:space="preserve">4.2 Phased Rollout and Timelines  </w:t>
      </w:r>
    </w:p>
    <w:p w:rsidR="00000000" w:rsidDel="00000000" w:rsidP="00000000" w:rsidRDefault="00000000" w:rsidRPr="00000000" w14:paraId="0000001B">
      <w:pPr>
        <w:ind w:left="720" w:firstLine="0"/>
        <w:rPr/>
      </w:pPr>
      <w:r w:rsidDel="00000000" w:rsidR="00000000" w:rsidRPr="00000000">
        <w:rPr>
          <w:rtl w:val="0"/>
        </w:rPr>
        <w:t xml:space="preserve">4.3 Training, Knowledge Transfer, and Change Management  </w:t>
      </w:r>
    </w:p>
    <w:p w:rsidR="00000000" w:rsidDel="00000000" w:rsidP="00000000" w:rsidRDefault="00000000" w:rsidRPr="00000000" w14:paraId="0000001C">
      <w:pPr>
        <w:ind w:left="720" w:firstLine="0"/>
        <w:rPr/>
      </w:pPr>
      <w:r w:rsidDel="00000000" w:rsidR="00000000" w:rsidRPr="00000000">
        <w:rPr>
          <w:rtl w:val="0"/>
        </w:rPr>
        <w:t xml:space="preserve">4.4 Risk Management and Contingency Planning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numPr>
          <w:ilvl w:val="0"/>
          <w:numId w:val="30"/>
        </w:numPr>
        <w:ind w:left="720" w:hanging="360"/>
        <w:rPr>
          <w:b w:val="1"/>
        </w:rPr>
      </w:pPr>
      <w:r w:rsidDel="00000000" w:rsidR="00000000" w:rsidRPr="00000000">
        <w:rPr>
          <w:b w:val="1"/>
          <w:rtl w:val="0"/>
        </w:rPr>
        <w:t xml:space="preserve">Vendor Qualifications and Experience  </w:t>
      </w:r>
    </w:p>
    <w:p w:rsidR="00000000" w:rsidDel="00000000" w:rsidP="00000000" w:rsidRDefault="00000000" w:rsidRPr="00000000" w14:paraId="0000001F">
      <w:pPr>
        <w:ind w:left="720" w:firstLine="0"/>
        <w:rPr/>
      </w:pPr>
      <w:r w:rsidDel="00000000" w:rsidR="00000000" w:rsidRPr="00000000">
        <w:rPr>
          <w:rtl w:val="0"/>
        </w:rPr>
        <w:t xml:space="preserve">5.1 Company Overview and Financial Stability  </w:t>
      </w:r>
    </w:p>
    <w:p w:rsidR="00000000" w:rsidDel="00000000" w:rsidP="00000000" w:rsidRDefault="00000000" w:rsidRPr="00000000" w14:paraId="00000020">
      <w:pPr>
        <w:ind w:left="720" w:firstLine="0"/>
        <w:rPr/>
      </w:pPr>
      <w:r w:rsidDel="00000000" w:rsidR="00000000" w:rsidRPr="00000000">
        <w:rPr>
          <w:rtl w:val="0"/>
        </w:rPr>
        <w:t xml:space="preserve">5.2 MODPA/Consumer Privacy Expertise and Track Record  </w:t>
      </w:r>
    </w:p>
    <w:p w:rsidR="00000000" w:rsidDel="00000000" w:rsidP="00000000" w:rsidRDefault="00000000" w:rsidRPr="00000000" w14:paraId="00000021">
      <w:pPr>
        <w:ind w:left="720" w:firstLine="0"/>
        <w:rPr/>
      </w:pPr>
      <w:r w:rsidDel="00000000" w:rsidR="00000000" w:rsidRPr="00000000">
        <w:rPr>
          <w:rtl w:val="0"/>
        </w:rPr>
        <w:t xml:space="preserve">5.3 Industry Experience and Case Studies  </w:t>
      </w:r>
    </w:p>
    <w:p w:rsidR="00000000" w:rsidDel="00000000" w:rsidP="00000000" w:rsidRDefault="00000000" w:rsidRPr="00000000" w14:paraId="00000022">
      <w:pPr>
        <w:ind w:left="720" w:firstLine="0"/>
        <w:rPr/>
      </w:pPr>
      <w:r w:rsidDel="00000000" w:rsidR="00000000" w:rsidRPr="00000000">
        <w:rPr>
          <w:rtl w:val="0"/>
        </w:rPr>
        <w:t xml:space="preserve">5.4 Certifications, Accreditations, and Partnerships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30"/>
        </w:numPr>
        <w:ind w:left="720" w:hanging="360"/>
        <w:rPr>
          <w:b w:val="1"/>
        </w:rPr>
      </w:pPr>
      <w:r w:rsidDel="00000000" w:rsidR="00000000" w:rsidRPr="00000000">
        <w:rPr>
          <w:b w:val="1"/>
          <w:rtl w:val="0"/>
        </w:rPr>
        <w:t xml:space="preserve">Pricing and Commercial Terms  </w:t>
      </w:r>
    </w:p>
    <w:p w:rsidR="00000000" w:rsidDel="00000000" w:rsidP="00000000" w:rsidRDefault="00000000" w:rsidRPr="00000000" w14:paraId="00000025">
      <w:pPr>
        <w:ind w:left="720" w:firstLine="0"/>
        <w:rPr/>
      </w:pPr>
      <w:r w:rsidDel="00000000" w:rsidR="00000000" w:rsidRPr="00000000">
        <w:rPr>
          <w:rtl w:val="0"/>
        </w:rPr>
        <w:t xml:space="preserve">6.1 Licensing Model (Subscription, Per-Asset, Enterprise)  </w:t>
      </w:r>
    </w:p>
    <w:p w:rsidR="00000000" w:rsidDel="00000000" w:rsidP="00000000" w:rsidRDefault="00000000" w:rsidRPr="00000000" w14:paraId="00000026">
      <w:pPr>
        <w:ind w:left="720" w:firstLine="0"/>
        <w:rPr/>
      </w:pPr>
      <w:r w:rsidDel="00000000" w:rsidR="00000000" w:rsidRPr="00000000">
        <w:rPr>
          <w:rtl w:val="0"/>
        </w:rPr>
        <w:t xml:space="preserve">6.2 Maintenance, Support, and SLAs  </w:t>
      </w:r>
    </w:p>
    <w:p w:rsidR="00000000" w:rsidDel="00000000" w:rsidP="00000000" w:rsidRDefault="00000000" w:rsidRPr="00000000" w14:paraId="00000027">
      <w:pPr>
        <w:ind w:left="720" w:firstLine="0"/>
        <w:rPr/>
      </w:pPr>
      <w:r w:rsidDel="00000000" w:rsidR="00000000" w:rsidRPr="00000000">
        <w:rPr>
          <w:rtl w:val="0"/>
        </w:rPr>
        <w:t xml:space="preserve">6.3 Additional Services and Scalability  </w:t>
      </w:r>
    </w:p>
    <w:p w:rsidR="00000000" w:rsidDel="00000000" w:rsidP="00000000" w:rsidRDefault="00000000" w:rsidRPr="00000000" w14:paraId="00000028">
      <w:pPr>
        <w:ind w:left="720" w:firstLine="0"/>
        <w:rPr/>
      </w:pPr>
      <w:r w:rsidDel="00000000" w:rsidR="00000000" w:rsidRPr="00000000">
        <w:rPr>
          <w:rtl w:val="0"/>
        </w:rPr>
        <w:t xml:space="preserve">6.4 Payment Terms and Contract Flexibility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numPr>
          <w:ilvl w:val="0"/>
          <w:numId w:val="30"/>
        </w:numPr>
        <w:ind w:left="720" w:hanging="360"/>
        <w:rPr>
          <w:b w:val="1"/>
        </w:rPr>
      </w:pPr>
      <w:r w:rsidDel="00000000" w:rsidR="00000000" w:rsidRPr="00000000">
        <w:rPr>
          <w:b w:val="1"/>
          <w:rtl w:val="0"/>
        </w:rPr>
        <w:t xml:space="preserve">Evaluation Criteria and Process  </w:t>
      </w:r>
    </w:p>
    <w:p w:rsidR="00000000" w:rsidDel="00000000" w:rsidP="00000000" w:rsidRDefault="00000000" w:rsidRPr="00000000" w14:paraId="0000002B">
      <w:pPr>
        <w:ind w:left="720" w:firstLine="0"/>
        <w:rPr/>
      </w:pPr>
      <w:r w:rsidDel="00000000" w:rsidR="00000000" w:rsidRPr="00000000">
        <w:rPr>
          <w:rtl w:val="0"/>
        </w:rPr>
        <w:t xml:space="preserve">7.1 Alignment with MODPA Requirements  </w:t>
      </w:r>
    </w:p>
    <w:p w:rsidR="00000000" w:rsidDel="00000000" w:rsidP="00000000" w:rsidRDefault="00000000" w:rsidRPr="00000000" w14:paraId="0000002C">
      <w:pPr>
        <w:ind w:left="720" w:firstLine="0"/>
        <w:rPr/>
      </w:pPr>
      <w:r w:rsidDel="00000000" w:rsidR="00000000" w:rsidRPr="00000000">
        <w:rPr>
          <w:rtl w:val="0"/>
        </w:rPr>
        <w:t xml:space="preserve">7.2 Technical Fit and Total Cost of Ownership  </w:t>
      </w:r>
    </w:p>
    <w:p w:rsidR="00000000" w:rsidDel="00000000" w:rsidP="00000000" w:rsidRDefault="00000000" w:rsidRPr="00000000" w14:paraId="0000002D">
      <w:pPr>
        <w:ind w:left="720" w:firstLine="0"/>
        <w:rPr/>
      </w:pPr>
      <w:r w:rsidDel="00000000" w:rsidR="00000000" w:rsidRPr="00000000">
        <w:rPr>
          <w:rtl w:val="0"/>
        </w:rPr>
        <w:t xml:space="preserve">7.3 Vendor Reliability and Support Model  </w:t>
      </w:r>
    </w:p>
    <w:p w:rsidR="00000000" w:rsidDel="00000000" w:rsidP="00000000" w:rsidRDefault="00000000" w:rsidRPr="00000000" w14:paraId="0000002E">
      <w:pPr>
        <w:ind w:left="720" w:firstLine="0"/>
        <w:rPr/>
      </w:pPr>
      <w:r w:rsidDel="00000000" w:rsidR="00000000" w:rsidRPr="00000000">
        <w:rPr>
          <w:rtl w:val="0"/>
        </w:rPr>
        <w:t xml:space="preserve">7.4 Long-Term Partnership Potential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numPr>
          <w:ilvl w:val="0"/>
          <w:numId w:val="30"/>
        </w:numPr>
        <w:ind w:left="720" w:hanging="360"/>
        <w:rPr>
          <w:b w:val="1"/>
        </w:rPr>
      </w:pPr>
      <w:r w:rsidDel="00000000" w:rsidR="00000000" w:rsidRPr="00000000">
        <w:rPr>
          <w:b w:val="1"/>
          <w:rtl w:val="0"/>
        </w:rPr>
        <w:t xml:space="preserve">Proposal Submission Guidelines  </w:t>
      </w:r>
    </w:p>
    <w:p w:rsidR="00000000" w:rsidDel="00000000" w:rsidP="00000000" w:rsidRDefault="00000000" w:rsidRPr="00000000" w14:paraId="00000031">
      <w:pPr>
        <w:ind w:left="720" w:firstLine="0"/>
        <w:rPr/>
      </w:pPr>
      <w:r w:rsidDel="00000000" w:rsidR="00000000" w:rsidRPr="00000000">
        <w:rPr>
          <w:rtl w:val="0"/>
        </w:rPr>
        <w:t xml:space="preserve">8.1 RFP Timeline and Key Milestones  </w:t>
      </w:r>
    </w:p>
    <w:p w:rsidR="00000000" w:rsidDel="00000000" w:rsidP="00000000" w:rsidRDefault="00000000" w:rsidRPr="00000000" w14:paraId="00000032">
      <w:pPr>
        <w:ind w:left="720" w:firstLine="0"/>
        <w:rPr/>
      </w:pPr>
      <w:r w:rsidDel="00000000" w:rsidR="00000000" w:rsidRPr="00000000">
        <w:rPr>
          <w:rtl w:val="0"/>
        </w:rPr>
        <w:t xml:space="preserve">8.2 Required Proposal Format and Structure  </w:t>
      </w:r>
    </w:p>
    <w:p w:rsidR="00000000" w:rsidDel="00000000" w:rsidP="00000000" w:rsidRDefault="00000000" w:rsidRPr="00000000" w14:paraId="00000033">
      <w:pPr>
        <w:ind w:left="720" w:firstLine="0"/>
        <w:rPr/>
      </w:pPr>
      <w:r w:rsidDel="00000000" w:rsidR="00000000" w:rsidRPr="00000000">
        <w:rPr>
          <w:rtl w:val="0"/>
        </w:rPr>
        <w:t xml:space="preserve">8.3 Communication, Q&amp;A, and Clarifications  </w:t>
      </w:r>
    </w:p>
    <w:p w:rsidR="00000000" w:rsidDel="00000000" w:rsidP="00000000" w:rsidRDefault="00000000" w:rsidRPr="00000000" w14:paraId="00000034">
      <w:pPr>
        <w:ind w:left="720" w:firstLine="0"/>
        <w:rPr/>
      </w:pPr>
      <w:r w:rsidDel="00000000" w:rsidR="00000000" w:rsidRPr="00000000">
        <w:rPr>
          <w:rtl w:val="0"/>
        </w:rPr>
        <w:t xml:space="preserve">8.4 Selection, Negotiation, and Award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numPr>
          <w:ilvl w:val="0"/>
          <w:numId w:val="30"/>
        </w:numPr>
        <w:ind w:left="720" w:hanging="360"/>
        <w:rPr>
          <w:b w:val="1"/>
        </w:rPr>
      </w:pPr>
      <w:r w:rsidDel="00000000" w:rsidR="00000000" w:rsidRPr="00000000">
        <w:rPr>
          <w:b w:val="1"/>
          <w:rtl w:val="0"/>
        </w:rPr>
        <w:t xml:space="preserve">Legal and Contractual Considerations  </w:t>
      </w:r>
    </w:p>
    <w:p w:rsidR="00000000" w:rsidDel="00000000" w:rsidP="00000000" w:rsidRDefault="00000000" w:rsidRPr="00000000" w14:paraId="00000037">
      <w:pPr>
        <w:ind w:left="720" w:firstLine="0"/>
        <w:rPr/>
      </w:pPr>
      <w:r w:rsidDel="00000000" w:rsidR="00000000" w:rsidRPr="00000000">
        <w:rPr>
          <w:rtl w:val="0"/>
        </w:rPr>
        <w:t xml:space="preserve">9.1 Confidentiality, Data Protection, and Non-Disclosure  </w:t>
      </w:r>
    </w:p>
    <w:p w:rsidR="00000000" w:rsidDel="00000000" w:rsidP="00000000" w:rsidRDefault="00000000" w:rsidRPr="00000000" w14:paraId="00000038">
      <w:pPr>
        <w:ind w:left="720" w:firstLine="0"/>
        <w:rPr/>
      </w:pPr>
      <w:r w:rsidDel="00000000" w:rsidR="00000000" w:rsidRPr="00000000">
        <w:rPr>
          <w:rtl w:val="0"/>
        </w:rPr>
        <w:t xml:space="preserve">9.2 Liability, Indemnification, and Insurance  </w:t>
      </w:r>
    </w:p>
    <w:p w:rsidR="00000000" w:rsidDel="00000000" w:rsidP="00000000" w:rsidRDefault="00000000" w:rsidRPr="00000000" w14:paraId="00000039">
      <w:pPr>
        <w:ind w:left="720" w:firstLine="0"/>
        <w:rPr/>
      </w:pPr>
      <w:r w:rsidDel="00000000" w:rsidR="00000000" w:rsidRPr="00000000">
        <w:rPr>
          <w:rtl w:val="0"/>
        </w:rPr>
        <w:t xml:space="preserve">9.3 Contract Duration and Renewals  </w:t>
      </w:r>
    </w:p>
    <w:p w:rsidR="00000000" w:rsidDel="00000000" w:rsidP="00000000" w:rsidRDefault="00000000" w:rsidRPr="00000000" w14:paraId="0000003A">
      <w:pPr>
        <w:ind w:left="720" w:firstLine="0"/>
        <w:rPr/>
      </w:pPr>
      <w:r w:rsidDel="00000000" w:rsidR="00000000" w:rsidRPr="00000000">
        <w:rPr>
          <w:rtl w:val="0"/>
        </w:rPr>
        <w:t xml:space="preserve">9.4 Intellectual Property and Ownership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numPr>
          <w:ilvl w:val="0"/>
          <w:numId w:val="30"/>
        </w:numPr>
        <w:ind w:left="720" w:hanging="360"/>
        <w:rPr>
          <w:b w:val="1"/>
        </w:rPr>
      </w:pPr>
      <w:r w:rsidDel="00000000" w:rsidR="00000000" w:rsidRPr="00000000">
        <w:rPr>
          <w:b w:val="1"/>
          <w:rtl w:val="0"/>
        </w:rPr>
        <w:t xml:space="preserve">Appendices (Optional)  </w:t>
      </w:r>
    </w:p>
    <w:p w:rsidR="00000000" w:rsidDel="00000000" w:rsidP="00000000" w:rsidRDefault="00000000" w:rsidRPr="00000000" w14:paraId="0000003D">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pStyle w:val="Heading2"/>
        <w:rPr>
          <w:b w:val="1"/>
          <w:sz w:val="34"/>
          <w:szCs w:val="34"/>
        </w:rPr>
      </w:pPr>
      <w:bookmarkStart w:colFirst="0" w:colLast="0" w:name="_3s9i3i9znl5b" w:id="1"/>
      <w:bookmarkEnd w:id="1"/>
      <w:r w:rsidDel="00000000" w:rsidR="00000000" w:rsidRPr="00000000">
        <w:rPr>
          <w:b w:val="1"/>
          <w:sz w:val="34"/>
          <w:szCs w:val="34"/>
          <w:rtl w:val="0"/>
        </w:rPr>
        <w:t xml:space="preserve">1. Introduction and Overview</w:t>
      </w:r>
    </w:p>
    <w:p w:rsidR="00000000" w:rsidDel="00000000" w:rsidP="00000000" w:rsidRDefault="00000000" w:rsidRPr="00000000" w14:paraId="0000003F">
      <w:pPr>
        <w:pStyle w:val="Heading3"/>
        <w:rPr>
          <w:b w:val="1"/>
          <w:color w:val="000000"/>
          <w:sz w:val="26"/>
          <w:szCs w:val="26"/>
        </w:rPr>
      </w:pPr>
      <w:bookmarkStart w:colFirst="0" w:colLast="0" w:name="_du1fwkd0gzu" w:id="2"/>
      <w:bookmarkEnd w:id="2"/>
      <w:r w:rsidDel="00000000" w:rsidR="00000000" w:rsidRPr="00000000">
        <w:rPr>
          <w:b w:val="1"/>
          <w:color w:val="000000"/>
          <w:sz w:val="26"/>
          <w:szCs w:val="26"/>
          <w:rtl w:val="0"/>
        </w:rPr>
        <w:t xml:space="preserve">1.1 Purpose of the RFP</w:t>
      </w:r>
    </w:p>
    <w:p w:rsidR="00000000" w:rsidDel="00000000" w:rsidP="00000000" w:rsidRDefault="00000000" w:rsidRPr="00000000" w14:paraId="00000040">
      <w:pPr>
        <w:spacing w:before="200" w:lineRule="auto"/>
        <w:rPr/>
      </w:pPr>
      <w:r w:rsidDel="00000000" w:rsidR="00000000" w:rsidRPr="00000000">
        <w:rPr>
          <w:rtl w:val="0"/>
        </w:rPr>
        <w:t xml:space="preserve">This RFP aims to procure a comprehensive privacy and data security platform that enables our organization to meet and sustain compliance with the Maryland Online Data Privacy Act (MODPA). The ideal solution will deliver agentless, real-time data discovery, consumer rights management, risk-based monitoring, and prompt incident response, ensuring robust protection of Maryland consumers’ personal information.</w:t>
      </w:r>
    </w:p>
    <w:p w:rsidR="00000000" w:rsidDel="00000000" w:rsidP="00000000" w:rsidRDefault="00000000" w:rsidRPr="00000000" w14:paraId="00000041">
      <w:pPr>
        <w:pStyle w:val="Heading3"/>
        <w:rPr>
          <w:b w:val="1"/>
          <w:color w:val="000000"/>
          <w:sz w:val="26"/>
          <w:szCs w:val="26"/>
        </w:rPr>
      </w:pPr>
      <w:bookmarkStart w:colFirst="0" w:colLast="0" w:name="_10uulvf3h4jr" w:id="3"/>
      <w:bookmarkEnd w:id="3"/>
      <w:r w:rsidDel="00000000" w:rsidR="00000000" w:rsidRPr="00000000">
        <w:rPr>
          <w:b w:val="1"/>
          <w:color w:val="000000"/>
          <w:sz w:val="26"/>
          <w:szCs w:val="26"/>
          <w:rtl w:val="0"/>
        </w:rPr>
        <w:t xml:space="preserve">1.2 Background on the Maryland Online Data Privacy Act (MODPA)</w:t>
      </w:r>
    </w:p>
    <w:p w:rsidR="00000000" w:rsidDel="00000000" w:rsidP="00000000" w:rsidRDefault="00000000" w:rsidRPr="00000000" w14:paraId="00000042">
      <w:pPr>
        <w:spacing w:before="200" w:lineRule="auto"/>
        <w:rPr/>
      </w:pPr>
      <w:r w:rsidDel="00000000" w:rsidR="00000000" w:rsidRPr="00000000">
        <w:rPr>
          <w:rtl w:val="0"/>
        </w:rPr>
        <w:t xml:space="preserve">MODPA imposes a variety of privacy and data handling obligations on companies:</w:t>
      </w:r>
    </w:p>
    <w:p w:rsidR="00000000" w:rsidDel="00000000" w:rsidP="00000000" w:rsidRDefault="00000000" w:rsidRPr="00000000" w14:paraId="00000043">
      <w:pPr>
        <w:numPr>
          <w:ilvl w:val="0"/>
          <w:numId w:val="43"/>
        </w:numPr>
        <w:spacing w:before="200" w:lineRule="auto"/>
        <w:ind w:left="720" w:hanging="360"/>
        <w:rPr>
          <w:u w:val="none"/>
        </w:rPr>
      </w:pPr>
      <w:r w:rsidDel="00000000" w:rsidR="00000000" w:rsidRPr="00000000">
        <w:rPr>
          <w:b w:val="1"/>
          <w:rtl w:val="0"/>
        </w:rPr>
        <w:t xml:space="preserve">Consumer Rights:</w:t>
      </w:r>
      <w:r w:rsidDel="00000000" w:rsidR="00000000" w:rsidRPr="00000000">
        <w:rPr>
          <w:rtl w:val="0"/>
        </w:rPr>
        <w:t xml:space="preserve"> Maryland residents can request access, correction, deletion, and opt-out of certain processing activities.  Data Minimization: Organizations must limit the collection and use of personal data to specific, necessary purposes.  </w:t>
      </w:r>
    </w:p>
    <w:p w:rsidR="00000000" w:rsidDel="00000000" w:rsidP="00000000" w:rsidRDefault="00000000" w:rsidRPr="00000000" w14:paraId="00000044">
      <w:pPr>
        <w:numPr>
          <w:ilvl w:val="0"/>
          <w:numId w:val="43"/>
        </w:numPr>
        <w:ind w:left="720" w:hanging="360"/>
        <w:rPr>
          <w:u w:val="none"/>
        </w:rPr>
      </w:pPr>
      <w:r w:rsidDel="00000000" w:rsidR="00000000" w:rsidRPr="00000000">
        <w:rPr>
          <w:b w:val="1"/>
          <w:rtl w:val="0"/>
        </w:rPr>
        <w:t xml:space="preserve">Security Obligations: </w:t>
      </w:r>
      <w:r w:rsidDel="00000000" w:rsidR="00000000" w:rsidRPr="00000000">
        <w:rPr>
          <w:rtl w:val="0"/>
        </w:rPr>
        <w:t xml:space="preserve">Maintain reasonable measures to safeguard personal data, including encryption, access controls, and regular risk assessments.  </w:t>
      </w:r>
    </w:p>
    <w:p w:rsidR="00000000" w:rsidDel="00000000" w:rsidP="00000000" w:rsidRDefault="00000000" w:rsidRPr="00000000" w14:paraId="00000045">
      <w:pPr>
        <w:numPr>
          <w:ilvl w:val="0"/>
          <w:numId w:val="43"/>
        </w:numPr>
        <w:ind w:left="720" w:hanging="360"/>
        <w:rPr>
          <w:u w:val="none"/>
        </w:rPr>
      </w:pPr>
      <w:r w:rsidDel="00000000" w:rsidR="00000000" w:rsidRPr="00000000">
        <w:rPr>
          <w:b w:val="1"/>
          <w:rtl w:val="0"/>
        </w:rPr>
        <w:t xml:space="preserve">Breach Reporting:</w:t>
      </w:r>
      <w:r w:rsidDel="00000000" w:rsidR="00000000" w:rsidRPr="00000000">
        <w:rPr>
          <w:rtl w:val="0"/>
        </w:rPr>
        <w:t xml:space="preserve"> Ensure timely notification to affected consumers (and potentially authorities) if personal data is compromised.</w:t>
      </w:r>
    </w:p>
    <w:p w:rsidR="00000000" w:rsidDel="00000000" w:rsidP="00000000" w:rsidRDefault="00000000" w:rsidRPr="00000000" w14:paraId="00000046">
      <w:pPr>
        <w:pStyle w:val="Heading3"/>
        <w:rPr>
          <w:b w:val="1"/>
          <w:color w:val="000000"/>
          <w:sz w:val="26"/>
          <w:szCs w:val="26"/>
        </w:rPr>
      </w:pPr>
      <w:bookmarkStart w:colFirst="0" w:colLast="0" w:name="_vl4770hvwtyp" w:id="4"/>
      <w:bookmarkEnd w:id="4"/>
      <w:r w:rsidDel="00000000" w:rsidR="00000000" w:rsidRPr="00000000">
        <w:rPr>
          <w:b w:val="1"/>
          <w:color w:val="000000"/>
          <w:sz w:val="26"/>
          <w:szCs w:val="26"/>
          <w:rtl w:val="0"/>
        </w:rPr>
        <w:t xml:space="preserve">1.3 Organizational Context and Current Challenges</w:t>
      </w:r>
    </w:p>
    <w:p w:rsidR="00000000" w:rsidDel="00000000" w:rsidP="00000000" w:rsidRDefault="00000000" w:rsidRPr="00000000" w14:paraId="00000047">
      <w:pPr>
        <w:spacing w:before="200" w:lineRule="auto"/>
        <w:rPr/>
      </w:pPr>
      <w:r w:rsidDel="00000000" w:rsidR="00000000" w:rsidRPr="00000000">
        <w:rPr>
          <w:rtl w:val="0"/>
        </w:rPr>
        <w:t xml:space="preserve">We maintain a large, distributed data environment:</w:t>
      </w:r>
    </w:p>
    <w:p w:rsidR="00000000" w:rsidDel="00000000" w:rsidP="00000000" w:rsidRDefault="00000000" w:rsidRPr="00000000" w14:paraId="00000048">
      <w:pPr>
        <w:numPr>
          <w:ilvl w:val="0"/>
          <w:numId w:val="17"/>
        </w:numPr>
        <w:spacing w:before="200" w:lineRule="auto"/>
        <w:ind w:left="720" w:hanging="360"/>
        <w:rPr>
          <w:u w:val="none"/>
        </w:rPr>
      </w:pPr>
      <w:r w:rsidDel="00000000" w:rsidR="00000000" w:rsidRPr="00000000">
        <w:rPr>
          <w:b w:val="1"/>
          <w:rtl w:val="0"/>
        </w:rPr>
        <w:t xml:space="preserve">IT Systems:</w:t>
      </w:r>
      <w:r w:rsidDel="00000000" w:rsidR="00000000" w:rsidRPr="00000000">
        <w:rPr>
          <w:rtl w:val="0"/>
        </w:rPr>
        <w:t xml:space="preserve"> Cloud services, SaaS platforms, on-prem data centers, internal apps.  </w:t>
      </w:r>
    </w:p>
    <w:p w:rsidR="00000000" w:rsidDel="00000000" w:rsidP="00000000" w:rsidRDefault="00000000" w:rsidRPr="00000000" w14:paraId="00000049">
      <w:pPr>
        <w:numPr>
          <w:ilvl w:val="0"/>
          <w:numId w:val="17"/>
        </w:numPr>
        <w:ind w:left="720" w:hanging="360"/>
        <w:rPr>
          <w:u w:val="none"/>
        </w:rPr>
      </w:pPr>
      <w:r w:rsidDel="00000000" w:rsidR="00000000" w:rsidRPr="00000000">
        <w:rPr>
          <w:b w:val="1"/>
          <w:rtl w:val="0"/>
        </w:rPr>
        <w:t xml:space="preserve">Legacy or IoT: </w:t>
      </w:r>
      <w:r w:rsidDel="00000000" w:rsidR="00000000" w:rsidRPr="00000000">
        <w:rPr>
          <w:rtl w:val="0"/>
        </w:rPr>
        <w:t xml:space="preserve">Certain older applications or device-based data requiring real-time oversight.  </w:t>
      </w:r>
    </w:p>
    <w:p w:rsidR="00000000" w:rsidDel="00000000" w:rsidP="00000000" w:rsidRDefault="00000000" w:rsidRPr="00000000" w14:paraId="0000004A">
      <w:pPr>
        <w:numPr>
          <w:ilvl w:val="0"/>
          <w:numId w:val="17"/>
        </w:numPr>
        <w:ind w:left="720" w:hanging="360"/>
        <w:rPr>
          <w:u w:val="none"/>
        </w:rPr>
      </w:pPr>
      <w:r w:rsidDel="00000000" w:rsidR="00000000" w:rsidRPr="00000000">
        <w:rPr>
          <w:b w:val="1"/>
          <w:rtl w:val="0"/>
        </w:rPr>
        <w:t xml:space="preserve">Third-Party Partners:</w:t>
      </w:r>
      <w:r w:rsidDel="00000000" w:rsidR="00000000" w:rsidRPr="00000000">
        <w:rPr>
          <w:rtl w:val="0"/>
        </w:rPr>
        <w:t xml:space="preserve"> Vendors or service providers that handle or access personal data under contract.</w:t>
      </w:r>
    </w:p>
    <w:p w:rsidR="00000000" w:rsidDel="00000000" w:rsidP="00000000" w:rsidRDefault="00000000" w:rsidRPr="00000000" w14:paraId="0000004B">
      <w:pPr>
        <w:spacing w:before="200" w:lineRule="auto"/>
        <w:rPr/>
      </w:pPr>
      <w:r w:rsidDel="00000000" w:rsidR="00000000" w:rsidRPr="00000000">
        <w:rPr>
          <w:rtl w:val="0"/>
        </w:rPr>
        <w:t xml:space="preserve">Key pain points:</w:t>
      </w:r>
    </w:p>
    <w:p w:rsidR="00000000" w:rsidDel="00000000" w:rsidP="00000000" w:rsidRDefault="00000000" w:rsidRPr="00000000" w14:paraId="0000004C">
      <w:pPr>
        <w:numPr>
          <w:ilvl w:val="0"/>
          <w:numId w:val="39"/>
        </w:numPr>
        <w:spacing w:before="200" w:lineRule="auto"/>
        <w:ind w:left="720" w:hanging="360"/>
        <w:rPr>
          <w:u w:val="none"/>
        </w:rPr>
      </w:pPr>
      <w:r w:rsidDel="00000000" w:rsidR="00000000" w:rsidRPr="00000000">
        <w:rPr>
          <w:b w:val="1"/>
          <w:rtl w:val="0"/>
        </w:rPr>
        <w:t xml:space="preserve">Distributed Data Silos:</w:t>
      </w:r>
      <w:r w:rsidDel="00000000" w:rsidR="00000000" w:rsidRPr="00000000">
        <w:rPr>
          <w:rtl w:val="0"/>
        </w:rPr>
        <w:t xml:space="preserve"> Difficulty unifying data inventories or applying consistent privacy controls across diverse systems.  </w:t>
      </w:r>
    </w:p>
    <w:p w:rsidR="00000000" w:rsidDel="00000000" w:rsidP="00000000" w:rsidRDefault="00000000" w:rsidRPr="00000000" w14:paraId="0000004D">
      <w:pPr>
        <w:numPr>
          <w:ilvl w:val="0"/>
          <w:numId w:val="39"/>
        </w:numPr>
        <w:ind w:left="720" w:hanging="360"/>
        <w:rPr>
          <w:u w:val="none"/>
        </w:rPr>
      </w:pPr>
      <w:r w:rsidDel="00000000" w:rsidR="00000000" w:rsidRPr="00000000">
        <w:rPr>
          <w:b w:val="1"/>
          <w:rtl w:val="0"/>
        </w:rPr>
        <w:t xml:space="preserve">Complex Consumer Request Handling: </w:t>
      </w:r>
      <w:r w:rsidDel="00000000" w:rsidR="00000000" w:rsidRPr="00000000">
        <w:rPr>
          <w:rtl w:val="0"/>
        </w:rPr>
        <w:t xml:space="preserve">Manual verification and retrieval processes risk compliance delays or inaccuracies.  </w:t>
      </w:r>
    </w:p>
    <w:p w:rsidR="00000000" w:rsidDel="00000000" w:rsidP="00000000" w:rsidRDefault="00000000" w:rsidRPr="00000000" w14:paraId="0000004E">
      <w:pPr>
        <w:numPr>
          <w:ilvl w:val="0"/>
          <w:numId w:val="39"/>
        </w:numPr>
        <w:ind w:left="720" w:hanging="360"/>
        <w:rPr>
          <w:u w:val="none"/>
        </w:rPr>
      </w:pPr>
      <w:r w:rsidDel="00000000" w:rsidR="00000000" w:rsidRPr="00000000">
        <w:rPr>
          <w:b w:val="1"/>
          <w:rtl w:val="0"/>
        </w:rPr>
        <w:t xml:space="preserve">Regulatory Complexity: </w:t>
      </w:r>
      <w:r w:rsidDel="00000000" w:rsidR="00000000" w:rsidRPr="00000000">
        <w:rPr>
          <w:rtl w:val="0"/>
        </w:rPr>
        <w:t xml:space="preserve">Potential overlap with other U.S. state laws or international frameworks in addition to MODPA.  </w:t>
      </w:r>
    </w:p>
    <w:p w:rsidR="00000000" w:rsidDel="00000000" w:rsidP="00000000" w:rsidRDefault="00000000" w:rsidRPr="00000000" w14:paraId="0000004F">
      <w:pPr>
        <w:numPr>
          <w:ilvl w:val="0"/>
          <w:numId w:val="39"/>
        </w:numPr>
        <w:ind w:left="720" w:hanging="360"/>
        <w:rPr>
          <w:u w:val="none"/>
        </w:rPr>
      </w:pPr>
      <w:r w:rsidDel="00000000" w:rsidR="00000000" w:rsidRPr="00000000">
        <w:rPr>
          <w:b w:val="1"/>
          <w:rtl w:val="0"/>
        </w:rPr>
        <w:t xml:space="preserve">Insufficient Real-Time Monitoring:</w:t>
      </w:r>
      <w:r w:rsidDel="00000000" w:rsidR="00000000" w:rsidRPr="00000000">
        <w:rPr>
          <w:rtl w:val="0"/>
        </w:rPr>
        <w:t xml:space="preserve"> Struggle to detect unusual data usage or potential exfiltration, complicating breach response.</w:t>
      </w:r>
    </w:p>
    <w:p w:rsidR="00000000" w:rsidDel="00000000" w:rsidP="00000000" w:rsidRDefault="00000000" w:rsidRPr="00000000" w14:paraId="00000050">
      <w:pPr>
        <w:pStyle w:val="Heading3"/>
        <w:rPr>
          <w:b w:val="1"/>
          <w:color w:val="000000"/>
          <w:sz w:val="26"/>
          <w:szCs w:val="26"/>
        </w:rPr>
      </w:pPr>
      <w:bookmarkStart w:colFirst="0" w:colLast="0" w:name="_byqbbllljhmb" w:id="5"/>
      <w:bookmarkEnd w:id="5"/>
      <w:r w:rsidDel="00000000" w:rsidR="00000000" w:rsidRPr="00000000">
        <w:rPr>
          <w:b w:val="1"/>
          <w:color w:val="000000"/>
          <w:sz w:val="26"/>
          <w:szCs w:val="26"/>
          <w:rtl w:val="0"/>
        </w:rPr>
        <w:t xml:space="preserve">1.4 Objectives and Success Criteria</w:t>
      </w:r>
    </w:p>
    <w:p w:rsidR="00000000" w:rsidDel="00000000" w:rsidP="00000000" w:rsidRDefault="00000000" w:rsidRPr="00000000" w14:paraId="00000051">
      <w:pPr>
        <w:numPr>
          <w:ilvl w:val="0"/>
          <w:numId w:val="14"/>
        </w:numPr>
        <w:spacing w:before="200" w:lineRule="auto"/>
        <w:ind w:left="720" w:hanging="360"/>
        <w:rPr>
          <w:u w:val="none"/>
        </w:rPr>
      </w:pPr>
      <w:r w:rsidDel="00000000" w:rsidR="00000000" w:rsidRPr="00000000">
        <w:rPr>
          <w:b w:val="1"/>
          <w:rtl w:val="0"/>
        </w:rPr>
        <w:t xml:space="preserve">Holistic Data Visibility:</w:t>
      </w:r>
      <w:r w:rsidDel="00000000" w:rsidR="00000000" w:rsidRPr="00000000">
        <w:rPr>
          <w:rtl w:val="0"/>
        </w:rPr>
        <w:t xml:space="preserve"> Achieve real-time, agentless discovery of personal data across our entire infrastructure.  </w:t>
      </w:r>
    </w:p>
    <w:p w:rsidR="00000000" w:rsidDel="00000000" w:rsidP="00000000" w:rsidRDefault="00000000" w:rsidRPr="00000000" w14:paraId="00000052">
      <w:pPr>
        <w:numPr>
          <w:ilvl w:val="0"/>
          <w:numId w:val="14"/>
        </w:numPr>
        <w:ind w:left="720" w:hanging="360"/>
        <w:rPr>
          <w:u w:val="none"/>
        </w:rPr>
      </w:pPr>
      <w:r w:rsidDel="00000000" w:rsidR="00000000" w:rsidRPr="00000000">
        <w:rPr>
          <w:b w:val="1"/>
          <w:rtl w:val="0"/>
        </w:rPr>
        <w:t xml:space="preserve">Streamlined Consumer Rights Management: </w:t>
      </w:r>
      <w:r w:rsidDel="00000000" w:rsidR="00000000" w:rsidRPr="00000000">
        <w:rPr>
          <w:rtl w:val="0"/>
        </w:rPr>
        <w:t xml:space="preserve">Automated or guided workflows ensuring timely and accurate responses to requests under MODPA.  </w:t>
      </w:r>
    </w:p>
    <w:p w:rsidR="00000000" w:rsidDel="00000000" w:rsidP="00000000" w:rsidRDefault="00000000" w:rsidRPr="00000000" w14:paraId="00000053">
      <w:pPr>
        <w:numPr>
          <w:ilvl w:val="0"/>
          <w:numId w:val="14"/>
        </w:numPr>
        <w:ind w:left="720" w:hanging="360"/>
        <w:rPr>
          <w:u w:val="none"/>
        </w:rPr>
      </w:pPr>
      <w:r w:rsidDel="00000000" w:rsidR="00000000" w:rsidRPr="00000000">
        <w:rPr>
          <w:b w:val="1"/>
          <w:rtl w:val="0"/>
        </w:rPr>
        <w:t xml:space="preserve">Robust Security: </w:t>
      </w:r>
      <w:r w:rsidDel="00000000" w:rsidR="00000000" w:rsidRPr="00000000">
        <w:rPr>
          <w:rtl w:val="0"/>
        </w:rPr>
        <w:t xml:space="preserve">Implement advanced detection and response capabilities to prevent or mitigate data breaches, meeting reporting timelines.  </w:t>
      </w:r>
    </w:p>
    <w:p w:rsidR="00000000" w:rsidDel="00000000" w:rsidP="00000000" w:rsidRDefault="00000000" w:rsidRPr="00000000" w14:paraId="00000054">
      <w:pPr>
        <w:numPr>
          <w:ilvl w:val="0"/>
          <w:numId w:val="14"/>
        </w:numPr>
        <w:ind w:left="720" w:hanging="360"/>
        <w:rPr>
          <w:u w:val="none"/>
        </w:rPr>
      </w:pPr>
      <w:r w:rsidDel="00000000" w:rsidR="00000000" w:rsidRPr="00000000">
        <w:rPr>
          <w:b w:val="1"/>
          <w:rtl w:val="0"/>
        </w:rPr>
        <w:t xml:space="preserve">Efficient Compliance: </w:t>
      </w:r>
      <w:r w:rsidDel="00000000" w:rsidR="00000000" w:rsidRPr="00000000">
        <w:rPr>
          <w:rtl w:val="0"/>
        </w:rPr>
        <w:t xml:space="preserve">Provide management dashboards and documented audit trails proving alignment with MODPA’s privacy obligations.</w:t>
      </w:r>
    </w:p>
    <w:p w:rsidR="00000000" w:rsidDel="00000000" w:rsidP="00000000" w:rsidRDefault="00000000" w:rsidRPr="00000000" w14:paraId="00000055">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pStyle w:val="Heading2"/>
        <w:rPr>
          <w:b w:val="1"/>
          <w:sz w:val="34"/>
          <w:szCs w:val="34"/>
        </w:rPr>
      </w:pPr>
      <w:bookmarkStart w:colFirst="0" w:colLast="0" w:name="_te0smrxysqte" w:id="6"/>
      <w:bookmarkEnd w:id="6"/>
      <w:r w:rsidDel="00000000" w:rsidR="00000000" w:rsidRPr="00000000">
        <w:rPr>
          <w:b w:val="1"/>
          <w:sz w:val="34"/>
          <w:szCs w:val="34"/>
          <w:rtl w:val="0"/>
        </w:rPr>
        <w:t xml:space="preserve">2. Scope of RFP</w:t>
      </w:r>
    </w:p>
    <w:p w:rsidR="00000000" w:rsidDel="00000000" w:rsidP="00000000" w:rsidRDefault="00000000" w:rsidRPr="00000000" w14:paraId="00000057">
      <w:pPr>
        <w:pStyle w:val="Heading3"/>
        <w:rPr>
          <w:b w:val="1"/>
          <w:color w:val="000000"/>
          <w:sz w:val="26"/>
          <w:szCs w:val="26"/>
        </w:rPr>
      </w:pPr>
      <w:bookmarkStart w:colFirst="0" w:colLast="0" w:name="_w7tgaprscf0l" w:id="7"/>
      <w:bookmarkEnd w:id="7"/>
      <w:r w:rsidDel="00000000" w:rsidR="00000000" w:rsidRPr="00000000">
        <w:rPr>
          <w:b w:val="1"/>
          <w:color w:val="000000"/>
          <w:sz w:val="26"/>
          <w:szCs w:val="26"/>
          <w:rtl w:val="0"/>
        </w:rPr>
        <w:t xml:space="preserve">2.1 In-Scope Systems and Data Types</w:t>
      </w:r>
    </w:p>
    <w:p w:rsidR="00000000" w:rsidDel="00000000" w:rsidP="00000000" w:rsidRDefault="00000000" w:rsidRPr="00000000" w14:paraId="00000058">
      <w:pPr>
        <w:numPr>
          <w:ilvl w:val="0"/>
          <w:numId w:val="11"/>
        </w:numPr>
        <w:spacing w:before="200" w:lineRule="auto"/>
        <w:ind w:left="720" w:hanging="360"/>
        <w:rPr>
          <w:u w:val="none"/>
        </w:rPr>
      </w:pPr>
      <w:r w:rsidDel="00000000" w:rsidR="00000000" w:rsidRPr="00000000">
        <w:rPr>
          <w:b w:val="1"/>
          <w:rtl w:val="0"/>
        </w:rPr>
        <w:t xml:space="preserve">Corporate IT: </w:t>
      </w:r>
      <w:r w:rsidDel="00000000" w:rsidR="00000000" w:rsidRPr="00000000">
        <w:rPr>
          <w:rtl w:val="0"/>
        </w:rPr>
        <w:t xml:space="preserve">Servers, endpoints, network storage, cloud services storing Maryland residents’ personal data.  </w:t>
      </w:r>
    </w:p>
    <w:p w:rsidR="00000000" w:rsidDel="00000000" w:rsidP="00000000" w:rsidRDefault="00000000" w:rsidRPr="00000000" w14:paraId="00000059">
      <w:pPr>
        <w:numPr>
          <w:ilvl w:val="0"/>
          <w:numId w:val="11"/>
        </w:numPr>
        <w:ind w:left="720" w:hanging="360"/>
        <w:rPr>
          <w:u w:val="none"/>
        </w:rPr>
      </w:pPr>
      <w:r w:rsidDel="00000000" w:rsidR="00000000" w:rsidRPr="00000000">
        <w:rPr>
          <w:b w:val="1"/>
          <w:rtl w:val="0"/>
        </w:rPr>
        <w:t xml:space="preserve">Legacy Databases: </w:t>
      </w:r>
      <w:r w:rsidDel="00000000" w:rsidR="00000000" w:rsidRPr="00000000">
        <w:rPr>
          <w:rtl w:val="0"/>
        </w:rPr>
        <w:t xml:space="preserve">Systems containing historical consumer records, potentially out of direct governance.  </w:t>
      </w:r>
    </w:p>
    <w:p w:rsidR="00000000" w:rsidDel="00000000" w:rsidP="00000000" w:rsidRDefault="00000000" w:rsidRPr="00000000" w14:paraId="0000005A">
      <w:pPr>
        <w:numPr>
          <w:ilvl w:val="0"/>
          <w:numId w:val="11"/>
        </w:numPr>
        <w:ind w:left="720" w:hanging="360"/>
        <w:rPr>
          <w:u w:val="none"/>
        </w:rPr>
      </w:pPr>
      <w:r w:rsidDel="00000000" w:rsidR="00000000" w:rsidRPr="00000000">
        <w:rPr>
          <w:b w:val="1"/>
          <w:rtl w:val="0"/>
        </w:rPr>
        <w:t xml:space="preserve">Third-Party Platforms: </w:t>
      </w:r>
      <w:r w:rsidDel="00000000" w:rsidR="00000000" w:rsidRPr="00000000">
        <w:rPr>
          <w:rtl w:val="0"/>
        </w:rPr>
        <w:t xml:space="preserve">Outsourced services or vendor-maintained systems integrated with our environment.  </w:t>
      </w:r>
    </w:p>
    <w:p w:rsidR="00000000" w:rsidDel="00000000" w:rsidP="00000000" w:rsidRDefault="00000000" w:rsidRPr="00000000" w14:paraId="0000005B">
      <w:pPr>
        <w:numPr>
          <w:ilvl w:val="0"/>
          <w:numId w:val="11"/>
        </w:numPr>
        <w:ind w:left="720" w:hanging="360"/>
        <w:rPr>
          <w:u w:val="none"/>
        </w:rPr>
      </w:pPr>
      <w:r w:rsidDel="00000000" w:rsidR="00000000" w:rsidRPr="00000000">
        <w:rPr>
          <w:b w:val="1"/>
          <w:rtl w:val="0"/>
        </w:rPr>
        <w:t xml:space="preserve">IoT or Device Data:</w:t>
      </w:r>
      <w:r w:rsidDel="00000000" w:rsidR="00000000" w:rsidRPr="00000000">
        <w:rPr>
          <w:rtl w:val="0"/>
        </w:rPr>
        <w:t xml:space="preserve"> If relevant, data originating from connected devices or industrial sensors tied to personal information.</w:t>
      </w:r>
    </w:p>
    <w:p w:rsidR="00000000" w:rsidDel="00000000" w:rsidP="00000000" w:rsidRDefault="00000000" w:rsidRPr="00000000" w14:paraId="0000005C">
      <w:pPr>
        <w:pStyle w:val="Heading3"/>
        <w:rPr>
          <w:b w:val="1"/>
          <w:color w:val="000000"/>
          <w:sz w:val="26"/>
          <w:szCs w:val="26"/>
        </w:rPr>
      </w:pPr>
      <w:bookmarkStart w:colFirst="0" w:colLast="0" w:name="_w7c0fgqd15pe" w:id="8"/>
      <w:bookmarkEnd w:id="8"/>
      <w:r w:rsidDel="00000000" w:rsidR="00000000" w:rsidRPr="00000000">
        <w:rPr>
          <w:b w:val="1"/>
          <w:color w:val="000000"/>
          <w:sz w:val="26"/>
          <w:szCs w:val="26"/>
          <w:rtl w:val="0"/>
        </w:rPr>
        <w:t xml:space="preserve">2.2 MODPA Compliance Obligations</w:t>
      </w:r>
    </w:p>
    <w:p w:rsidR="00000000" w:rsidDel="00000000" w:rsidP="00000000" w:rsidRDefault="00000000" w:rsidRPr="00000000" w14:paraId="0000005D">
      <w:pPr>
        <w:spacing w:before="200" w:lineRule="auto"/>
        <w:rPr/>
      </w:pPr>
      <w:r w:rsidDel="00000000" w:rsidR="00000000" w:rsidRPr="00000000">
        <w:rPr>
          <w:rtl w:val="0"/>
        </w:rPr>
        <w:t xml:space="preserve">The solution must support:</w:t>
      </w:r>
    </w:p>
    <w:p w:rsidR="00000000" w:rsidDel="00000000" w:rsidP="00000000" w:rsidRDefault="00000000" w:rsidRPr="00000000" w14:paraId="0000005E">
      <w:pPr>
        <w:numPr>
          <w:ilvl w:val="0"/>
          <w:numId w:val="16"/>
        </w:numPr>
        <w:spacing w:before="200" w:lineRule="auto"/>
        <w:ind w:left="720" w:hanging="360"/>
        <w:rPr>
          <w:u w:val="none"/>
        </w:rPr>
      </w:pPr>
      <w:r w:rsidDel="00000000" w:rsidR="00000000" w:rsidRPr="00000000">
        <w:rPr>
          <w:b w:val="1"/>
          <w:rtl w:val="0"/>
        </w:rPr>
        <w:t xml:space="preserve">Consumer Rights:</w:t>
      </w:r>
      <w:r w:rsidDel="00000000" w:rsidR="00000000" w:rsidRPr="00000000">
        <w:rPr>
          <w:rtl w:val="0"/>
        </w:rPr>
        <w:t xml:space="preserve"> Tools to process requests for data access, deletion, correction, or opt-out of data sharing.  </w:t>
      </w:r>
    </w:p>
    <w:p w:rsidR="00000000" w:rsidDel="00000000" w:rsidP="00000000" w:rsidRDefault="00000000" w:rsidRPr="00000000" w14:paraId="0000005F">
      <w:pPr>
        <w:numPr>
          <w:ilvl w:val="0"/>
          <w:numId w:val="16"/>
        </w:numPr>
        <w:ind w:left="720" w:hanging="360"/>
        <w:rPr>
          <w:u w:val="none"/>
        </w:rPr>
      </w:pPr>
      <w:r w:rsidDel="00000000" w:rsidR="00000000" w:rsidRPr="00000000">
        <w:rPr>
          <w:b w:val="1"/>
          <w:rtl w:val="0"/>
        </w:rPr>
        <w:t xml:space="preserve">Data Minimization and Purpose Limitation:</w:t>
      </w:r>
      <w:r w:rsidDel="00000000" w:rsidR="00000000" w:rsidRPr="00000000">
        <w:rPr>
          <w:rtl w:val="0"/>
        </w:rPr>
        <w:t xml:space="preserve"> Identify extraneous data usage or retention, prompting corrective actions.  </w:t>
      </w:r>
    </w:p>
    <w:p w:rsidR="00000000" w:rsidDel="00000000" w:rsidP="00000000" w:rsidRDefault="00000000" w:rsidRPr="00000000" w14:paraId="00000060">
      <w:pPr>
        <w:numPr>
          <w:ilvl w:val="0"/>
          <w:numId w:val="16"/>
        </w:numPr>
        <w:ind w:left="720" w:hanging="360"/>
        <w:rPr>
          <w:u w:val="none"/>
        </w:rPr>
      </w:pPr>
      <w:r w:rsidDel="00000000" w:rsidR="00000000" w:rsidRPr="00000000">
        <w:rPr>
          <w:b w:val="1"/>
          <w:rtl w:val="0"/>
        </w:rPr>
        <w:t xml:space="preserve">Security Controls: </w:t>
      </w:r>
      <w:r w:rsidDel="00000000" w:rsidR="00000000" w:rsidRPr="00000000">
        <w:rPr>
          <w:rtl w:val="0"/>
        </w:rPr>
        <w:t xml:space="preserve">Ongoing data security monitoring, encryption standards, and vulnerability scanning relevant to personal data.  </w:t>
      </w:r>
    </w:p>
    <w:p w:rsidR="00000000" w:rsidDel="00000000" w:rsidP="00000000" w:rsidRDefault="00000000" w:rsidRPr="00000000" w14:paraId="00000061">
      <w:pPr>
        <w:numPr>
          <w:ilvl w:val="0"/>
          <w:numId w:val="16"/>
        </w:numPr>
        <w:ind w:left="720" w:hanging="360"/>
        <w:rPr>
          <w:u w:val="none"/>
        </w:rPr>
      </w:pPr>
      <w:r w:rsidDel="00000000" w:rsidR="00000000" w:rsidRPr="00000000">
        <w:rPr>
          <w:b w:val="1"/>
          <w:rtl w:val="0"/>
        </w:rPr>
        <w:t xml:space="preserve">Breach Notification:</w:t>
      </w:r>
      <w:r w:rsidDel="00000000" w:rsidR="00000000" w:rsidRPr="00000000">
        <w:rPr>
          <w:rtl w:val="0"/>
        </w:rPr>
        <w:t xml:space="preserve"> Automated or guided workflows for incident detection, forensics, and compliance with reporting timelines if personal data is exposed.</w:t>
      </w:r>
    </w:p>
    <w:p w:rsidR="00000000" w:rsidDel="00000000" w:rsidP="00000000" w:rsidRDefault="00000000" w:rsidRPr="00000000" w14:paraId="00000062">
      <w:pPr>
        <w:pStyle w:val="Heading3"/>
        <w:rPr>
          <w:b w:val="1"/>
          <w:color w:val="000000"/>
          <w:sz w:val="26"/>
          <w:szCs w:val="26"/>
        </w:rPr>
      </w:pPr>
      <w:bookmarkStart w:colFirst="0" w:colLast="0" w:name="_9li0vrsgje6i" w:id="9"/>
      <w:bookmarkEnd w:id="9"/>
      <w:r w:rsidDel="00000000" w:rsidR="00000000" w:rsidRPr="00000000">
        <w:rPr>
          <w:b w:val="1"/>
          <w:color w:val="000000"/>
          <w:sz w:val="26"/>
          <w:szCs w:val="26"/>
          <w:rtl w:val="0"/>
        </w:rPr>
        <w:t xml:space="preserve">2.3 Desired Outcomes and Deliverables</w:t>
      </w:r>
    </w:p>
    <w:p w:rsidR="00000000" w:rsidDel="00000000" w:rsidP="00000000" w:rsidRDefault="00000000" w:rsidRPr="00000000" w14:paraId="00000063">
      <w:pPr>
        <w:numPr>
          <w:ilvl w:val="0"/>
          <w:numId w:val="10"/>
        </w:numPr>
        <w:spacing w:before="200" w:lineRule="auto"/>
        <w:ind w:left="720" w:hanging="360"/>
        <w:rPr>
          <w:u w:val="none"/>
        </w:rPr>
      </w:pPr>
      <w:r w:rsidDel="00000000" w:rsidR="00000000" w:rsidRPr="00000000">
        <w:rPr>
          <w:b w:val="1"/>
          <w:rtl w:val="0"/>
        </w:rPr>
        <w:t xml:space="preserve">Comprehensive Personal Data Map: </w:t>
      </w:r>
      <w:r w:rsidDel="00000000" w:rsidR="00000000" w:rsidRPr="00000000">
        <w:rPr>
          <w:rtl w:val="0"/>
        </w:rPr>
        <w:t xml:space="preserve">Real-time, always-updated inventory of personal data flows, classifications, and associated risk.  </w:t>
      </w:r>
    </w:p>
    <w:p w:rsidR="00000000" w:rsidDel="00000000" w:rsidP="00000000" w:rsidRDefault="00000000" w:rsidRPr="00000000" w14:paraId="00000064">
      <w:pPr>
        <w:numPr>
          <w:ilvl w:val="0"/>
          <w:numId w:val="10"/>
        </w:numPr>
        <w:ind w:left="720" w:hanging="360"/>
        <w:rPr>
          <w:u w:val="none"/>
        </w:rPr>
      </w:pPr>
      <w:r w:rsidDel="00000000" w:rsidR="00000000" w:rsidRPr="00000000">
        <w:rPr>
          <w:b w:val="1"/>
          <w:rtl w:val="0"/>
        </w:rPr>
        <w:t xml:space="preserve">DSR Workflow Automation: </w:t>
      </w:r>
      <w:r w:rsidDel="00000000" w:rsidR="00000000" w:rsidRPr="00000000">
        <w:rPr>
          <w:rtl w:val="0"/>
        </w:rPr>
        <w:t xml:space="preserve">Centralized system enabling quick identity verification, data retrieval, modification, or erasure.  </w:t>
      </w:r>
    </w:p>
    <w:p w:rsidR="00000000" w:rsidDel="00000000" w:rsidP="00000000" w:rsidRDefault="00000000" w:rsidRPr="00000000" w14:paraId="00000065">
      <w:pPr>
        <w:numPr>
          <w:ilvl w:val="0"/>
          <w:numId w:val="10"/>
        </w:numPr>
        <w:ind w:left="720" w:hanging="360"/>
        <w:rPr>
          <w:u w:val="none"/>
        </w:rPr>
      </w:pPr>
      <w:r w:rsidDel="00000000" w:rsidR="00000000" w:rsidRPr="00000000">
        <w:rPr>
          <w:b w:val="1"/>
          <w:rtl w:val="0"/>
        </w:rPr>
        <w:t xml:space="preserve">Unified Privacy Dashboard:</w:t>
      </w:r>
      <w:r w:rsidDel="00000000" w:rsidR="00000000" w:rsidRPr="00000000">
        <w:rPr>
          <w:rtl w:val="0"/>
        </w:rPr>
        <w:t xml:space="preserve"> Single-pane overview of compliance status, open consumer requests, data security alerts, and operational KPIs.  </w:t>
      </w:r>
    </w:p>
    <w:p w:rsidR="00000000" w:rsidDel="00000000" w:rsidP="00000000" w:rsidRDefault="00000000" w:rsidRPr="00000000" w14:paraId="00000066">
      <w:pPr>
        <w:numPr>
          <w:ilvl w:val="0"/>
          <w:numId w:val="10"/>
        </w:numPr>
        <w:ind w:left="720" w:hanging="360"/>
        <w:rPr>
          <w:u w:val="none"/>
        </w:rPr>
      </w:pPr>
      <w:r w:rsidDel="00000000" w:rsidR="00000000" w:rsidRPr="00000000">
        <w:rPr>
          <w:b w:val="1"/>
          <w:rtl w:val="0"/>
        </w:rPr>
        <w:t xml:space="preserve">Incident Management:</w:t>
      </w:r>
      <w:r w:rsidDel="00000000" w:rsidR="00000000" w:rsidRPr="00000000">
        <w:rPr>
          <w:rtl w:val="0"/>
        </w:rPr>
        <w:t xml:space="preserve"> Rapid response playbooks, forensic data capture, breach notification templates aligned with MODPA requirements.</w:t>
      </w:r>
    </w:p>
    <w:p w:rsidR="00000000" w:rsidDel="00000000" w:rsidP="00000000" w:rsidRDefault="00000000" w:rsidRPr="00000000" w14:paraId="00000067">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8">
      <w:pPr>
        <w:pStyle w:val="Heading2"/>
        <w:rPr/>
      </w:pPr>
      <w:bookmarkStart w:colFirst="0" w:colLast="0" w:name="_h5prcop49ogt" w:id="10"/>
      <w:bookmarkEnd w:id="10"/>
      <w:r w:rsidDel="00000000" w:rsidR="00000000" w:rsidRPr="00000000">
        <w:rPr>
          <w:b w:val="1"/>
          <w:sz w:val="34"/>
          <w:szCs w:val="34"/>
          <w:rtl w:val="0"/>
        </w:rPr>
        <w:t xml:space="preserve">3. Technical and Functional Requirements</w:t>
      </w:r>
      <w:r w:rsidDel="00000000" w:rsidR="00000000" w:rsidRPr="00000000">
        <w:rPr>
          <w:rtl w:val="0"/>
        </w:rPr>
      </w:r>
    </w:p>
    <w:p w:rsidR="00000000" w:rsidDel="00000000" w:rsidP="00000000" w:rsidRDefault="00000000" w:rsidRPr="00000000" w14:paraId="00000069">
      <w:pPr>
        <w:pStyle w:val="Heading3"/>
        <w:rPr>
          <w:b w:val="1"/>
          <w:color w:val="000000"/>
          <w:sz w:val="26"/>
          <w:szCs w:val="26"/>
        </w:rPr>
      </w:pPr>
      <w:bookmarkStart w:colFirst="0" w:colLast="0" w:name="_a7ia79gf0h1q" w:id="11"/>
      <w:bookmarkEnd w:id="11"/>
      <w:r w:rsidDel="00000000" w:rsidR="00000000" w:rsidRPr="00000000">
        <w:rPr>
          <w:b w:val="1"/>
          <w:color w:val="000000"/>
          <w:sz w:val="26"/>
          <w:szCs w:val="26"/>
          <w:rtl w:val="0"/>
        </w:rPr>
        <w:t xml:space="preserve">3.1 Agentless Data Discovery and Continuous Monitoring</w:t>
      </w:r>
    </w:p>
    <w:p w:rsidR="00000000" w:rsidDel="00000000" w:rsidP="00000000" w:rsidRDefault="00000000" w:rsidRPr="00000000" w14:paraId="0000006A">
      <w:pPr>
        <w:numPr>
          <w:ilvl w:val="0"/>
          <w:numId w:val="18"/>
        </w:numPr>
        <w:spacing w:before="200" w:lineRule="auto"/>
        <w:ind w:left="720" w:hanging="360"/>
        <w:rPr>
          <w:b w:val="1"/>
        </w:rPr>
      </w:pPr>
      <w:r w:rsidDel="00000000" w:rsidR="00000000" w:rsidRPr="00000000">
        <w:rPr>
          <w:b w:val="1"/>
          <w:rtl w:val="0"/>
        </w:rPr>
        <w:t xml:space="preserve">Non-Invasive Scanning  </w:t>
      </w:r>
    </w:p>
    <w:p w:rsidR="00000000" w:rsidDel="00000000" w:rsidP="00000000" w:rsidRDefault="00000000" w:rsidRPr="00000000" w14:paraId="0000006B">
      <w:pPr>
        <w:numPr>
          <w:ilvl w:val="0"/>
          <w:numId w:val="42"/>
        </w:numPr>
        <w:spacing w:after="0" w:before="200" w:lineRule="auto"/>
        <w:ind w:left="1440" w:hanging="360"/>
        <w:rPr>
          <w:u w:val="none"/>
        </w:rPr>
      </w:pPr>
      <w:r w:rsidDel="00000000" w:rsidR="00000000" w:rsidRPr="00000000">
        <w:rPr>
          <w:rtl w:val="0"/>
        </w:rPr>
        <w:t xml:space="preserve">Discovery of personal data in structured/unstructured environments without installing local agents.  </w:t>
      </w:r>
    </w:p>
    <w:p w:rsidR="00000000" w:rsidDel="00000000" w:rsidP="00000000" w:rsidRDefault="00000000" w:rsidRPr="00000000" w14:paraId="0000006C">
      <w:pPr>
        <w:numPr>
          <w:ilvl w:val="0"/>
          <w:numId w:val="42"/>
        </w:numPr>
        <w:ind w:left="1440" w:hanging="360"/>
        <w:rPr>
          <w:u w:val="none"/>
        </w:rPr>
      </w:pPr>
      <w:r w:rsidDel="00000000" w:rsidR="00000000" w:rsidRPr="00000000">
        <w:rPr>
          <w:rtl w:val="0"/>
        </w:rPr>
        <w:t xml:space="preserve">Passive or low-impact scanning is crucial for sensitive or legacy systems.</w:t>
      </w:r>
    </w:p>
    <w:p w:rsidR="00000000" w:rsidDel="00000000" w:rsidP="00000000" w:rsidRDefault="00000000" w:rsidRPr="00000000" w14:paraId="0000006D">
      <w:pPr>
        <w:numPr>
          <w:ilvl w:val="0"/>
          <w:numId w:val="18"/>
        </w:numPr>
        <w:spacing w:after="0" w:before="200" w:lineRule="auto"/>
        <w:ind w:left="720" w:hanging="360"/>
        <w:rPr>
          <w:b w:val="1"/>
        </w:rPr>
      </w:pPr>
      <w:r w:rsidDel="00000000" w:rsidR="00000000" w:rsidRPr="00000000">
        <w:rPr>
          <w:b w:val="1"/>
          <w:rtl w:val="0"/>
        </w:rPr>
        <w:t xml:space="preserve">Detailed Data Classification  </w:t>
      </w:r>
    </w:p>
    <w:p w:rsidR="00000000" w:rsidDel="00000000" w:rsidP="00000000" w:rsidRDefault="00000000" w:rsidRPr="00000000" w14:paraId="0000006E">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Automated detection of personal data fields (e.g., name, email, financial or health info) across multiple repositories.  </w:t>
      </w:r>
    </w:p>
    <w:p w:rsidR="00000000" w:rsidDel="00000000" w:rsidP="00000000" w:rsidRDefault="00000000" w:rsidRPr="00000000" w14:paraId="0000006F">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Ability to define custom data classes or sensitivity levels beyond standard detection rules.</w:t>
      </w:r>
    </w:p>
    <w:p w:rsidR="00000000" w:rsidDel="00000000" w:rsidP="00000000" w:rsidRDefault="00000000" w:rsidRPr="00000000" w14:paraId="00000070">
      <w:pPr>
        <w:numPr>
          <w:ilvl w:val="0"/>
          <w:numId w:val="18"/>
        </w:numPr>
        <w:spacing w:after="0" w:before="200" w:lineRule="auto"/>
        <w:ind w:left="720" w:hanging="360"/>
        <w:rPr>
          <w:u w:val="none"/>
        </w:rPr>
      </w:pPr>
      <w:r w:rsidDel="00000000" w:rsidR="00000000" w:rsidRPr="00000000">
        <w:rPr>
          <w:b w:val="1"/>
          <w:rtl w:val="0"/>
        </w:rPr>
        <w:t xml:space="preserve">Live Updates </w:t>
      </w:r>
      <w:r w:rsidDel="00000000" w:rsidR="00000000" w:rsidRPr="00000000">
        <w:rPr>
          <w:rtl w:val="0"/>
        </w:rPr>
        <w:t xml:space="preserve"> </w:t>
      </w:r>
    </w:p>
    <w:p w:rsidR="00000000" w:rsidDel="00000000" w:rsidP="00000000" w:rsidRDefault="00000000" w:rsidRPr="00000000" w14:paraId="00000071">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Ongoing scans or event-driven triggers ensuring newly added data, databases, or files are swiftly identified.</w:t>
      </w:r>
    </w:p>
    <w:p w:rsidR="00000000" w:rsidDel="00000000" w:rsidP="00000000" w:rsidRDefault="00000000" w:rsidRPr="00000000" w14:paraId="00000072">
      <w:pPr>
        <w:pStyle w:val="Heading3"/>
        <w:rPr>
          <w:b w:val="1"/>
          <w:color w:val="000000"/>
          <w:sz w:val="26"/>
          <w:szCs w:val="26"/>
        </w:rPr>
      </w:pPr>
      <w:bookmarkStart w:colFirst="0" w:colLast="0" w:name="_kf7ubs2uvuq8" w:id="12"/>
      <w:bookmarkEnd w:id="12"/>
      <w:r w:rsidDel="00000000" w:rsidR="00000000" w:rsidRPr="00000000">
        <w:rPr>
          <w:b w:val="1"/>
          <w:color w:val="000000"/>
          <w:sz w:val="26"/>
          <w:szCs w:val="26"/>
          <w:rtl w:val="0"/>
        </w:rPr>
        <w:t xml:space="preserve">3.2 Privacy Risk Assessment and Data Classification</w:t>
      </w:r>
    </w:p>
    <w:p w:rsidR="00000000" w:rsidDel="00000000" w:rsidP="00000000" w:rsidRDefault="00000000" w:rsidRPr="00000000" w14:paraId="00000073">
      <w:pPr>
        <w:numPr>
          <w:ilvl w:val="0"/>
          <w:numId w:val="33"/>
        </w:numPr>
        <w:spacing w:before="200" w:lineRule="auto"/>
        <w:ind w:left="720" w:hanging="360"/>
        <w:rPr>
          <w:u w:val="none"/>
        </w:rPr>
      </w:pPr>
      <w:r w:rsidDel="00000000" w:rsidR="00000000" w:rsidRPr="00000000">
        <w:rPr>
          <w:b w:val="1"/>
          <w:rtl w:val="0"/>
        </w:rPr>
        <w:t xml:space="preserve">Privacy Impact Assessments (PIAs) </w:t>
      </w:r>
      <w:r w:rsidDel="00000000" w:rsidR="00000000" w:rsidRPr="00000000">
        <w:rPr>
          <w:rtl w:val="0"/>
        </w:rPr>
        <w:t xml:space="preserve"> </w:t>
      </w:r>
    </w:p>
    <w:p w:rsidR="00000000" w:rsidDel="00000000" w:rsidP="00000000" w:rsidRDefault="00000000" w:rsidRPr="00000000" w14:paraId="00000074">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Tools or frameworks for generating PIAs, especially when introducing new data usage scenarios or technologies.  </w:t>
      </w:r>
    </w:p>
    <w:p w:rsidR="00000000" w:rsidDel="00000000" w:rsidP="00000000" w:rsidRDefault="00000000" w:rsidRPr="00000000" w14:paraId="00000075">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Recommended mitigation or privacy-by-design strategies to address identified risks.</w:t>
      </w:r>
    </w:p>
    <w:p w:rsidR="00000000" w:rsidDel="00000000" w:rsidP="00000000" w:rsidRDefault="00000000" w:rsidRPr="00000000" w14:paraId="00000076">
      <w:pPr>
        <w:numPr>
          <w:ilvl w:val="0"/>
          <w:numId w:val="33"/>
        </w:numPr>
        <w:spacing w:after="0" w:before="200" w:lineRule="auto"/>
        <w:ind w:left="720" w:hanging="360"/>
        <w:rPr>
          <w:b w:val="1"/>
        </w:rPr>
      </w:pPr>
      <w:r w:rsidDel="00000000" w:rsidR="00000000" w:rsidRPr="00000000">
        <w:rPr>
          <w:b w:val="1"/>
          <w:rtl w:val="0"/>
        </w:rPr>
        <w:t xml:space="preserve">Risk Scoring  </w:t>
      </w:r>
    </w:p>
    <w:p w:rsidR="00000000" w:rsidDel="00000000" w:rsidP="00000000" w:rsidRDefault="00000000" w:rsidRPr="00000000" w14:paraId="00000077">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Context-based approach factoring in data sensitivity, volume, access privileges, and known threats.  </w:t>
      </w:r>
    </w:p>
    <w:p w:rsidR="00000000" w:rsidDel="00000000" w:rsidP="00000000" w:rsidRDefault="00000000" w:rsidRPr="00000000" w14:paraId="00000078">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Alerts for high-risk data sets or processes that may violate MODPA obligations if left unmanaged.</w:t>
      </w:r>
    </w:p>
    <w:p w:rsidR="00000000" w:rsidDel="00000000" w:rsidP="00000000" w:rsidRDefault="00000000" w:rsidRPr="00000000" w14:paraId="00000079">
      <w:pPr>
        <w:numPr>
          <w:ilvl w:val="0"/>
          <w:numId w:val="33"/>
        </w:numPr>
        <w:spacing w:after="0" w:before="200" w:lineRule="auto"/>
        <w:ind w:left="720" w:hanging="360"/>
        <w:rPr>
          <w:b w:val="1"/>
        </w:rPr>
      </w:pPr>
      <w:r w:rsidDel="00000000" w:rsidR="00000000" w:rsidRPr="00000000">
        <w:rPr>
          <w:b w:val="1"/>
          <w:rtl w:val="0"/>
        </w:rPr>
        <w:t xml:space="preserve">Lifecycle Management  </w:t>
      </w:r>
    </w:p>
    <w:p w:rsidR="00000000" w:rsidDel="00000000" w:rsidP="00000000" w:rsidRDefault="00000000" w:rsidRPr="00000000" w14:paraId="0000007A">
      <w:pPr>
        <w:numPr>
          <w:ilvl w:val="0"/>
          <w:numId w:val="32"/>
        </w:numPr>
        <w:spacing w:before="200" w:lineRule="auto"/>
        <w:ind w:left="1440" w:hanging="360"/>
        <w:rPr>
          <w:u w:val="none"/>
        </w:rPr>
      </w:pPr>
      <w:r w:rsidDel="00000000" w:rsidR="00000000" w:rsidRPr="00000000">
        <w:rPr>
          <w:rtl w:val="0"/>
        </w:rPr>
        <w:t xml:space="preserve">Suggest or automate data retention, encryption, or anonymization measures to minimize unnecessary data retention or exposure.</w:t>
      </w:r>
    </w:p>
    <w:p w:rsidR="00000000" w:rsidDel="00000000" w:rsidP="00000000" w:rsidRDefault="00000000" w:rsidRPr="00000000" w14:paraId="0000007B">
      <w:pPr>
        <w:pStyle w:val="Heading3"/>
        <w:rPr>
          <w:b w:val="1"/>
          <w:color w:val="000000"/>
          <w:sz w:val="26"/>
          <w:szCs w:val="26"/>
        </w:rPr>
      </w:pPr>
      <w:bookmarkStart w:colFirst="0" w:colLast="0" w:name="_q8kwrim46r2h" w:id="13"/>
      <w:bookmarkEnd w:id="13"/>
      <w:r w:rsidDel="00000000" w:rsidR="00000000" w:rsidRPr="00000000">
        <w:rPr>
          <w:b w:val="1"/>
          <w:color w:val="000000"/>
          <w:sz w:val="26"/>
          <w:szCs w:val="26"/>
          <w:rtl w:val="0"/>
        </w:rPr>
        <w:t xml:space="preserve">3.3 Consumer Rights and Consent Management</w:t>
      </w:r>
    </w:p>
    <w:p w:rsidR="00000000" w:rsidDel="00000000" w:rsidP="00000000" w:rsidRDefault="00000000" w:rsidRPr="00000000" w14:paraId="0000007C">
      <w:pPr>
        <w:numPr>
          <w:ilvl w:val="0"/>
          <w:numId w:val="46"/>
        </w:numPr>
        <w:spacing w:before="200" w:lineRule="auto"/>
        <w:ind w:left="720" w:hanging="360"/>
        <w:rPr>
          <w:b w:val="1"/>
        </w:rPr>
      </w:pPr>
      <w:r w:rsidDel="00000000" w:rsidR="00000000" w:rsidRPr="00000000">
        <w:rPr>
          <w:b w:val="1"/>
          <w:rtl w:val="0"/>
        </w:rPr>
        <w:t xml:space="preserve">DSR Fulfillment  </w:t>
      </w:r>
    </w:p>
    <w:p w:rsidR="00000000" w:rsidDel="00000000" w:rsidP="00000000" w:rsidRDefault="00000000" w:rsidRPr="00000000" w14:paraId="0000007D">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Automated location and retrieval of personal data for access requests, verifying consumer identity, fulfilling corrections or deletions promptly.  </w:t>
      </w:r>
    </w:p>
    <w:p w:rsidR="00000000" w:rsidDel="00000000" w:rsidP="00000000" w:rsidRDefault="00000000" w:rsidRPr="00000000" w14:paraId="0000007E">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Comprehensive logs for each DSR step, proving compliance within statutory deadlines.</w:t>
      </w:r>
    </w:p>
    <w:p w:rsidR="00000000" w:rsidDel="00000000" w:rsidP="00000000" w:rsidRDefault="00000000" w:rsidRPr="00000000" w14:paraId="0000007F">
      <w:pPr>
        <w:numPr>
          <w:ilvl w:val="0"/>
          <w:numId w:val="46"/>
        </w:numPr>
        <w:spacing w:after="0" w:before="200" w:lineRule="auto"/>
        <w:ind w:left="720" w:hanging="360"/>
        <w:rPr>
          <w:b w:val="1"/>
        </w:rPr>
      </w:pPr>
      <w:r w:rsidDel="00000000" w:rsidR="00000000" w:rsidRPr="00000000">
        <w:rPr>
          <w:b w:val="1"/>
          <w:rtl w:val="0"/>
        </w:rPr>
        <w:t xml:space="preserve">Consent and Preference Controls  </w:t>
      </w:r>
    </w:p>
    <w:p w:rsidR="00000000" w:rsidDel="00000000" w:rsidP="00000000" w:rsidRDefault="00000000" w:rsidRPr="00000000" w14:paraId="00000080">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Manage consumer consents or opt-outs (targeted ads, sale of data, etc.), applying changes across integrated systems in real time.  </w:t>
      </w:r>
    </w:p>
    <w:p w:rsidR="00000000" w:rsidDel="00000000" w:rsidP="00000000" w:rsidRDefault="00000000" w:rsidRPr="00000000" w14:paraId="00000081">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Provide evidence that no further processing of consumer data occurs if they exercise opt-out rights under MODPA.</w:t>
      </w:r>
    </w:p>
    <w:p w:rsidR="00000000" w:rsidDel="00000000" w:rsidP="00000000" w:rsidRDefault="00000000" w:rsidRPr="00000000" w14:paraId="00000082">
      <w:pPr>
        <w:numPr>
          <w:ilvl w:val="0"/>
          <w:numId w:val="46"/>
        </w:numPr>
        <w:spacing w:after="0" w:before="200" w:lineRule="auto"/>
        <w:ind w:left="720" w:hanging="360"/>
        <w:rPr>
          <w:b w:val="1"/>
        </w:rPr>
      </w:pPr>
      <w:r w:rsidDel="00000000" w:rsidR="00000000" w:rsidRPr="00000000">
        <w:rPr>
          <w:b w:val="1"/>
          <w:rtl w:val="0"/>
        </w:rPr>
        <w:t xml:space="preserve">Time-Bound Compliance  </w:t>
      </w:r>
    </w:p>
    <w:p w:rsidR="00000000" w:rsidDel="00000000" w:rsidP="00000000" w:rsidRDefault="00000000" w:rsidRPr="00000000" w14:paraId="00000083">
      <w:pPr>
        <w:numPr>
          <w:ilvl w:val="0"/>
          <w:numId w:val="7"/>
        </w:numPr>
        <w:spacing w:before="200" w:lineRule="auto"/>
        <w:ind w:left="1440" w:hanging="360"/>
        <w:rPr>
          <w:u w:val="none"/>
        </w:rPr>
      </w:pPr>
      <w:r w:rsidDel="00000000" w:rsidR="00000000" w:rsidRPr="00000000">
        <w:rPr>
          <w:rtl w:val="0"/>
        </w:rPr>
        <w:t xml:space="preserve">Configurable alerts or workflows ensuring consumer requests are addressed within MODPA-specific timelines, escalating overdue tasks to compliance leads.</w:t>
      </w:r>
    </w:p>
    <w:p w:rsidR="00000000" w:rsidDel="00000000" w:rsidP="00000000" w:rsidRDefault="00000000" w:rsidRPr="00000000" w14:paraId="00000084">
      <w:pPr>
        <w:pStyle w:val="Heading3"/>
        <w:rPr>
          <w:b w:val="1"/>
          <w:color w:val="000000"/>
          <w:sz w:val="26"/>
          <w:szCs w:val="26"/>
        </w:rPr>
      </w:pPr>
      <w:bookmarkStart w:colFirst="0" w:colLast="0" w:name="_vzo84gghsgc2" w:id="14"/>
      <w:bookmarkEnd w:id="14"/>
      <w:r w:rsidDel="00000000" w:rsidR="00000000" w:rsidRPr="00000000">
        <w:rPr>
          <w:b w:val="1"/>
          <w:color w:val="000000"/>
          <w:sz w:val="26"/>
          <w:szCs w:val="26"/>
          <w:rtl w:val="0"/>
        </w:rPr>
        <w:t xml:space="preserve">3.4 Incident Detection, Notification, and Response</w:t>
      </w:r>
    </w:p>
    <w:p w:rsidR="00000000" w:rsidDel="00000000" w:rsidP="00000000" w:rsidRDefault="00000000" w:rsidRPr="00000000" w14:paraId="00000085">
      <w:pPr>
        <w:numPr>
          <w:ilvl w:val="0"/>
          <w:numId w:val="41"/>
        </w:numPr>
        <w:spacing w:before="200" w:lineRule="auto"/>
        <w:ind w:left="720" w:hanging="360"/>
        <w:rPr>
          <w:u w:val="none"/>
        </w:rPr>
      </w:pPr>
      <w:r w:rsidDel="00000000" w:rsidR="00000000" w:rsidRPr="00000000">
        <w:rPr>
          <w:b w:val="1"/>
          <w:rtl w:val="0"/>
        </w:rPr>
        <w:t xml:space="preserve">Advanced Threat Monitoring </w:t>
      </w:r>
      <w:r w:rsidDel="00000000" w:rsidR="00000000" w:rsidRPr="00000000">
        <w:rPr>
          <w:rtl w:val="0"/>
        </w:rPr>
        <w:t xml:space="preserve"> </w:t>
      </w:r>
    </w:p>
    <w:p w:rsidR="00000000" w:rsidDel="00000000" w:rsidP="00000000" w:rsidRDefault="00000000" w:rsidRPr="00000000" w14:paraId="00000086">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Behavior-based anomaly detection to identify unauthorized access, data exfiltration attempts, or suspicious user activity.  </w:t>
      </w:r>
    </w:p>
    <w:p w:rsidR="00000000" w:rsidDel="00000000" w:rsidP="00000000" w:rsidRDefault="00000000" w:rsidRPr="00000000" w14:paraId="00000087">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Integration with data usage analytics for deeper insights into potential privacy violations or malicious data usage.</w:t>
      </w:r>
    </w:p>
    <w:p w:rsidR="00000000" w:rsidDel="00000000" w:rsidP="00000000" w:rsidRDefault="00000000" w:rsidRPr="00000000" w14:paraId="00000088">
      <w:pPr>
        <w:numPr>
          <w:ilvl w:val="0"/>
          <w:numId w:val="41"/>
        </w:numPr>
        <w:spacing w:after="0" w:before="200" w:lineRule="auto"/>
        <w:ind w:left="720" w:hanging="360"/>
        <w:rPr>
          <w:b w:val="1"/>
        </w:rPr>
      </w:pPr>
      <w:r w:rsidDel="00000000" w:rsidR="00000000" w:rsidRPr="00000000">
        <w:rPr>
          <w:b w:val="1"/>
          <w:rtl w:val="0"/>
        </w:rPr>
        <w:t xml:space="preserve">Breach Response  </w:t>
      </w:r>
    </w:p>
    <w:p w:rsidR="00000000" w:rsidDel="00000000" w:rsidP="00000000" w:rsidRDefault="00000000" w:rsidRPr="00000000" w14:paraId="00000089">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Automated or guided response to lock down compromised accounts, isolate network segments, or generate initial incident reports.  </w:t>
      </w:r>
    </w:p>
    <w:p w:rsidR="00000000" w:rsidDel="00000000" w:rsidP="00000000" w:rsidRDefault="00000000" w:rsidRPr="00000000" w14:paraId="0000008A">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Forensic record-keeping capturing relevant logs, device states, and user actions for detailed investigations.</w:t>
      </w:r>
    </w:p>
    <w:p w:rsidR="00000000" w:rsidDel="00000000" w:rsidP="00000000" w:rsidRDefault="00000000" w:rsidRPr="00000000" w14:paraId="0000008B">
      <w:pPr>
        <w:numPr>
          <w:ilvl w:val="0"/>
          <w:numId w:val="41"/>
        </w:numPr>
        <w:spacing w:after="0" w:before="200" w:lineRule="auto"/>
        <w:ind w:left="720" w:hanging="360"/>
        <w:rPr>
          <w:b w:val="1"/>
        </w:rPr>
      </w:pPr>
      <w:r w:rsidDel="00000000" w:rsidR="00000000" w:rsidRPr="00000000">
        <w:rPr>
          <w:b w:val="1"/>
          <w:rtl w:val="0"/>
        </w:rPr>
        <w:t xml:space="preserve">MODPA Breach Notification Support  </w:t>
      </w:r>
    </w:p>
    <w:p w:rsidR="00000000" w:rsidDel="00000000" w:rsidP="00000000" w:rsidRDefault="00000000" w:rsidRPr="00000000" w14:paraId="0000008C">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Built-in or integrated workflow to gather incident details, impacted data subjects, and relevant timelines for compliance with required breach notifications.  </w:t>
      </w:r>
    </w:p>
    <w:p w:rsidR="00000000" w:rsidDel="00000000" w:rsidP="00000000" w:rsidRDefault="00000000" w:rsidRPr="00000000" w14:paraId="0000008D">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Default or configurable templates aligning with MODPA’s format or timing requirements.</w:t>
      </w:r>
    </w:p>
    <w:p w:rsidR="00000000" w:rsidDel="00000000" w:rsidP="00000000" w:rsidRDefault="00000000" w:rsidRPr="00000000" w14:paraId="0000008E">
      <w:pPr>
        <w:pStyle w:val="Heading3"/>
        <w:rPr>
          <w:b w:val="1"/>
          <w:color w:val="000000"/>
          <w:sz w:val="26"/>
          <w:szCs w:val="26"/>
        </w:rPr>
      </w:pPr>
      <w:bookmarkStart w:colFirst="0" w:colLast="0" w:name="_27cj977ufq4g" w:id="15"/>
      <w:bookmarkEnd w:id="15"/>
      <w:r w:rsidDel="00000000" w:rsidR="00000000" w:rsidRPr="00000000">
        <w:rPr>
          <w:b w:val="1"/>
          <w:color w:val="000000"/>
          <w:sz w:val="26"/>
          <w:szCs w:val="26"/>
          <w:rtl w:val="0"/>
        </w:rPr>
        <w:t xml:space="preserve">3.5 Governance, Reporting, and Audit Support</w:t>
      </w:r>
    </w:p>
    <w:p w:rsidR="00000000" w:rsidDel="00000000" w:rsidP="00000000" w:rsidRDefault="00000000" w:rsidRPr="00000000" w14:paraId="0000008F">
      <w:pPr>
        <w:numPr>
          <w:ilvl w:val="0"/>
          <w:numId w:val="24"/>
        </w:numPr>
        <w:spacing w:before="200" w:lineRule="auto"/>
        <w:ind w:left="720" w:hanging="360"/>
        <w:rPr>
          <w:u w:val="none"/>
        </w:rPr>
      </w:pPr>
      <w:r w:rsidDel="00000000" w:rsidR="00000000" w:rsidRPr="00000000">
        <w:rPr>
          <w:b w:val="1"/>
          <w:rtl w:val="0"/>
        </w:rPr>
        <w:t xml:space="preserve">Privacy Governance Dashboard  </w:t>
      </w:r>
    </w:p>
    <w:p w:rsidR="00000000" w:rsidDel="00000000" w:rsidP="00000000" w:rsidRDefault="00000000" w:rsidRPr="00000000" w14:paraId="00000090">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Central interface showing data classification statuses, open DSRs, incident alerts, key risk indicators, and compliance status.  </w:t>
      </w:r>
    </w:p>
    <w:p w:rsidR="00000000" w:rsidDel="00000000" w:rsidP="00000000" w:rsidRDefault="00000000" w:rsidRPr="00000000" w14:paraId="00000091">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High-level summaries suitable for executive or board oversight.</w:t>
      </w:r>
    </w:p>
    <w:p w:rsidR="00000000" w:rsidDel="00000000" w:rsidP="00000000" w:rsidRDefault="00000000" w:rsidRPr="00000000" w14:paraId="00000092">
      <w:pPr>
        <w:numPr>
          <w:ilvl w:val="0"/>
          <w:numId w:val="24"/>
        </w:numPr>
        <w:spacing w:after="0" w:before="200" w:lineRule="auto"/>
        <w:ind w:left="720" w:hanging="360"/>
        <w:rPr>
          <w:b w:val="1"/>
        </w:rPr>
      </w:pPr>
      <w:r w:rsidDel="00000000" w:rsidR="00000000" w:rsidRPr="00000000">
        <w:rPr>
          <w:b w:val="1"/>
          <w:rtl w:val="0"/>
        </w:rPr>
        <w:t xml:space="preserve">Policy Enforcement  </w:t>
      </w:r>
    </w:p>
    <w:p w:rsidR="00000000" w:rsidDel="00000000" w:rsidP="00000000" w:rsidRDefault="00000000" w:rsidRPr="00000000" w14:paraId="00000093">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Potential integration with existing policy frameworks to enforce retention schedules, data minimization, or encryption requirements.  </w:t>
      </w:r>
    </w:p>
    <w:p w:rsidR="00000000" w:rsidDel="00000000" w:rsidP="00000000" w:rsidRDefault="00000000" w:rsidRPr="00000000" w14:paraId="00000094">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Alerts for policy breaches (e.g., storing data beyond retention limits).</w:t>
      </w:r>
    </w:p>
    <w:p w:rsidR="00000000" w:rsidDel="00000000" w:rsidP="00000000" w:rsidRDefault="00000000" w:rsidRPr="00000000" w14:paraId="00000095">
      <w:pPr>
        <w:numPr>
          <w:ilvl w:val="0"/>
          <w:numId w:val="24"/>
        </w:numPr>
        <w:spacing w:after="0" w:before="200" w:lineRule="auto"/>
        <w:ind w:left="720" w:hanging="360"/>
        <w:rPr>
          <w:b w:val="1"/>
        </w:rPr>
      </w:pPr>
      <w:r w:rsidDel="00000000" w:rsidR="00000000" w:rsidRPr="00000000">
        <w:rPr>
          <w:b w:val="1"/>
          <w:rtl w:val="0"/>
        </w:rPr>
        <w:t xml:space="preserve">Regulatory Reporting  </w:t>
      </w:r>
    </w:p>
    <w:p w:rsidR="00000000" w:rsidDel="00000000" w:rsidP="00000000" w:rsidRDefault="00000000" w:rsidRPr="00000000" w14:paraId="00000096">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Pre-built or easily configurable compliance reports addressing MODPA requirements for internal audits or inquiries from Maryland authorities.  </w:t>
      </w:r>
    </w:p>
    <w:p w:rsidR="00000000" w:rsidDel="00000000" w:rsidP="00000000" w:rsidRDefault="00000000" w:rsidRPr="00000000" w14:paraId="00000097">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Historical data on DSR volumes, resolution times, and security incidents over time.</w:t>
      </w:r>
    </w:p>
    <w:p w:rsidR="00000000" w:rsidDel="00000000" w:rsidP="00000000" w:rsidRDefault="00000000" w:rsidRPr="00000000" w14:paraId="00000098">
      <w:pPr>
        <w:pStyle w:val="Heading3"/>
        <w:rPr>
          <w:b w:val="1"/>
          <w:color w:val="000000"/>
          <w:sz w:val="26"/>
          <w:szCs w:val="26"/>
        </w:rPr>
      </w:pPr>
      <w:bookmarkStart w:colFirst="0" w:colLast="0" w:name="_h7fv73ld5vmp" w:id="16"/>
      <w:bookmarkEnd w:id="16"/>
      <w:r w:rsidDel="00000000" w:rsidR="00000000" w:rsidRPr="00000000">
        <w:rPr>
          <w:b w:val="1"/>
          <w:color w:val="000000"/>
          <w:sz w:val="26"/>
          <w:szCs w:val="26"/>
          <w:rtl w:val="0"/>
        </w:rPr>
        <w:t xml:space="preserve">3.6 Integration with Existing Security and IT Ecosystems</w:t>
      </w:r>
    </w:p>
    <w:p w:rsidR="00000000" w:rsidDel="00000000" w:rsidP="00000000" w:rsidRDefault="00000000" w:rsidRPr="00000000" w14:paraId="00000099">
      <w:pPr>
        <w:numPr>
          <w:ilvl w:val="0"/>
          <w:numId w:val="37"/>
        </w:numPr>
        <w:spacing w:before="200" w:lineRule="auto"/>
        <w:ind w:left="720" w:hanging="360"/>
        <w:rPr>
          <w:b w:val="1"/>
        </w:rPr>
      </w:pPr>
      <w:r w:rsidDel="00000000" w:rsidR="00000000" w:rsidRPr="00000000">
        <w:rPr>
          <w:b w:val="1"/>
          <w:rtl w:val="0"/>
        </w:rPr>
        <w:t xml:space="preserve">SIEM, SOAR, ITSM  </w:t>
      </w:r>
    </w:p>
    <w:p w:rsidR="00000000" w:rsidDel="00000000" w:rsidP="00000000" w:rsidRDefault="00000000" w:rsidRPr="00000000" w14:paraId="0000009A">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Native connectors or well-documented APIs to feed discovered data or incident alerts into Splunk, ServiceNow, or other common platforms.  </w:t>
      </w:r>
    </w:p>
    <w:p w:rsidR="00000000" w:rsidDel="00000000" w:rsidP="00000000" w:rsidRDefault="00000000" w:rsidRPr="00000000" w14:paraId="0000009B">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Bi-directional integration enabling automated incident containment or DSR workflows.</w:t>
      </w:r>
    </w:p>
    <w:p w:rsidR="00000000" w:rsidDel="00000000" w:rsidP="00000000" w:rsidRDefault="00000000" w:rsidRPr="00000000" w14:paraId="0000009C">
      <w:pPr>
        <w:numPr>
          <w:ilvl w:val="0"/>
          <w:numId w:val="37"/>
        </w:numPr>
        <w:spacing w:after="0" w:before="200" w:lineRule="auto"/>
        <w:ind w:left="720" w:hanging="360"/>
        <w:rPr>
          <w:b w:val="1"/>
        </w:rPr>
      </w:pPr>
      <w:r w:rsidDel="00000000" w:rsidR="00000000" w:rsidRPr="00000000">
        <w:rPr>
          <w:b w:val="1"/>
          <w:rtl w:val="0"/>
        </w:rPr>
        <w:t xml:space="preserve">Identity and Access Management  </w:t>
      </w:r>
    </w:p>
    <w:p w:rsidR="00000000" w:rsidDel="00000000" w:rsidP="00000000" w:rsidRDefault="00000000" w:rsidRPr="00000000" w14:paraId="0000009D">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Combine device context, user credentials, and role-based access to track who can view or modify personal data.  </w:t>
      </w:r>
    </w:p>
    <w:p w:rsidR="00000000" w:rsidDel="00000000" w:rsidP="00000000" w:rsidRDefault="00000000" w:rsidRPr="00000000" w14:paraId="0000009E">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Flag suspicious or orphaned accounts with potential elevated privileges to sensitive data.</w:t>
      </w:r>
    </w:p>
    <w:p w:rsidR="00000000" w:rsidDel="00000000" w:rsidP="00000000" w:rsidRDefault="00000000" w:rsidRPr="00000000" w14:paraId="0000009F">
      <w:pPr>
        <w:numPr>
          <w:ilvl w:val="0"/>
          <w:numId w:val="37"/>
        </w:numPr>
        <w:spacing w:after="0" w:before="200" w:lineRule="auto"/>
        <w:ind w:left="720" w:hanging="360"/>
        <w:rPr>
          <w:b w:val="1"/>
        </w:rPr>
      </w:pPr>
      <w:r w:rsidDel="00000000" w:rsidR="00000000" w:rsidRPr="00000000">
        <w:rPr>
          <w:b w:val="1"/>
          <w:rtl w:val="0"/>
        </w:rPr>
        <w:t xml:space="preserve">Cloud and Container Services  </w:t>
      </w:r>
    </w:p>
    <w:p w:rsidR="00000000" w:rsidDel="00000000" w:rsidP="00000000" w:rsidRDefault="00000000" w:rsidRPr="00000000" w14:paraId="000000A0">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Ability to scan ephemeral environments (containers, serverless) for personal data.  </w:t>
      </w:r>
    </w:p>
    <w:p w:rsidR="00000000" w:rsidDel="00000000" w:rsidP="00000000" w:rsidRDefault="00000000" w:rsidRPr="00000000" w14:paraId="000000A1">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Evaluate security configurations or data retention in multi-cloud deployments.</w:t>
      </w:r>
    </w:p>
    <w:p w:rsidR="00000000" w:rsidDel="00000000" w:rsidP="00000000" w:rsidRDefault="00000000" w:rsidRPr="00000000" w14:paraId="000000A2">
      <w:pPr>
        <w:pStyle w:val="Heading3"/>
        <w:rPr>
          <w:b w:val="1"/>
          <w:color w:val="000000"/>
          <w:sz w:val="26"/>
          <w:szCs w:val="26"/>
        </w:rPr>
      </w:pPr>
      <w:bookmarkStart w:colFirst="0" w:colLast="0" w:name="_udc4igdkcskg" w:id="17"/>
      <w:bookmarkEnd w:id="17"/>
      <w:r w:rsidDel="00000000" w:rsidR="00000000" w:rsidRPr="00000000">
        <w:rPr>
          <w:b w:val="1"/>
          <w:color w:val="000000"/>
          <w:sz w:val="26"/>
          <w:szCs w:val="26"/>
          <w:rtl w:val="0"/>
        </w:rPr>
        <w:t xml:space="preserve">3.7 Scalability and Future-Readiness</w:t>
      </w:r>
    </w:p>
    <w:p w:rsidR="00000000" w:rsidDel="00000000" w:rsidP="00000000" w:rsidRDefault="00000000" w:rsidRPr="00000000" w14:paraId="000000A3">
      <w:pPr>
        <w:numPr>
          <w:ilvl w:val="0"/>
          <w:numId w:val="45"/>
        </w:numPr>
        <w:spacing w:before="200" w:lineRule="auto"/>
        <w:ind w:left="720" w:hanging="360"/>
        <w:rPr>
          <w:b w:val="1"/>
        </w:rPr>
      </w:pPr>
      <w:r w:rsidDel="00000000" w:rsidR="00000000" w:rsidRPr="00000000">
        <w:rPr>
          <w:b w:val="1"/>
          <w:rtl w:val="0"/>
        </w:rPr>
        <w:t xml:space="preserve">Performance Benchmarks  </w:t>
      </w:r>
    </w:p>
    <w:p w:rsidR="00000000" w:rsidDel="00000000" w:rsidP="00000000" w:rsidRDefault="00000000" w:rsidRPr="00000000" w14:paraId="000000A4">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Must handle large volumes of personal data or high transaction rates without performance lags.  </w:t>
      </w:r>
    </w:p>
    <w:p w:rsidR="00000000" w:rsidDel="00000000" w:rsidP="00000000" w:rsidRDefault="00000000" w:rsidRPr="00000000" w14:paraId="000000A5">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Clear architecture guidelines for multi-region, multi-site deployments.</w:t>
      </w:r>
    </w:p>
    <w:p w:rsidR="00000000" w:rsidDel="00000000" w:rsidP="00000000" w:rsidRDefault="00000000" w:rsidRPr="00000000" w14:paraId="000000A6">
      <w:pPr>
        <w:numPr>
          <w:ilvl w:val="0"/>
          <w:numId w:val="45"/>
        </w:numPr>
        <w:spacing w:after="0" w:before="200" w:lineRule="auto"/>
        <w:ind w:left="720" w:hanging="360"/>
        <w:rPr>
          <w:b w:val="1"/>
        </w:rPr>
      </w:pPr>
      <w:r w:rsidDel="00000000" w:rsidR="00000000" w:rsidRPr="00000000">
        <w:rPr>
          <w:b w:val="1"/>
          <w:rtl w:val="0"/>
        </w:rPr>
        <w:t xml:space="preserve">Modular Expansion  </w:t>
      </w:r>
    </w:p>
    <w:p w:rsidR="00000000" w:rsidDel="00000000" w:rsidP="00000000" w:rsidRDefault="00000000" w:rsidRPr="00000000" w14:paraId="000000A7">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Optional advanced analytics modules, machine learning detection, or specialized compliance expansions for other U.S. state or international laws.  </w:t>
      </w:r>
    </w:p>
    <w:p w:rsidR="00000000" w:rsidDel="00000000" w:rsidP="00000000" w:rsidRDefault="00000000" w:rsidRPr="00000000" w14:paraId="000000A8">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Regular updates </w:t>
      </w:r>
      <w:r w:rsidDel="00000000" w:rsidR="00000000" w:rsidRPr="00000000">
        <w:rPr>
          <w:rtl w:val="0"/>
        </w:rPr>
        <w:t xml:space="preserve">ensuring</w:t>
      </w:r>
      <w:r w:rsidDel="00000000" w:rsidR="00000000" w:rsidRPr="00000000">
        <w:rPr>
          <w:rtl w:val="0"/>
        </w:rPr>
        <w:t xml:space="preserve"> coverage of new data types or technology trends.</w:t>
      </w:r>
    </w:p>
    <w:p w:rsidR="00000000" w:rsidDel="00000000" w:rsidP="00000000" w:rsidRDefault="00000000" w:rsidRPr="00000000" w14:paraId="000000A9">
      <w:pPr>
        <w:numPr>
          <w:ilvl w:val="0"/>
          <w:numId w:val="45"/>
        </w:numPr>
        <w:spacing w:after="0" w:before="200" w:lineRule="auto"/>
        <w:ind w:left="720" w:hanging="360"/>
        <w:rPr>
          <w:b w:val="1"/>
        </w:rPr>
      </w:pPr>
      <w:r w:rsidDel="00000000" w:rsidR="00000000" w:rsidRPr="00000000">
        <w:rPr>
          <w:b w:val="1"/>
          <w:rtl w:val="0"/>
        </w:rPr>
        <w:t xml:space="preserve">Roadmap Alignment  </w:t>
      </w:r>
    </w:p>
    <w:p w:rsidR="00000000" w:rsidDel="00000000" w:rsidP="00000000" w:rsidRDefault="00000000" w:rsidRPr="00000000" w14:paraId="000000AA">
      <w:pPr>
        <w:numPr>
          <w:ilvl w:val="0"/>
          <w:numId w:val="21"/>
        </w:numPr>
        <w:spacing w:before="200" w:lineRule="auto"/>
        <w:ind w:left="1440" w:hanging="360"/>
        <w:rPr>
          <w:u w:val="none"/>
        </w:rPr>
      </w:pPr>
      <w:r w:rsidDel="00000000" w:rsidR="00000000" w:rsidRPr="00000000">
        <w:rPr>
          <w:rtl w:val="0"/>
        </w:rPr>
        <w:t xml:space="preserve">Vendor’s commitment to ongoing adaptation to emergent privacy regulations or advanced threat scenarios, ensuring the solution remains relevant long-term.</w:t>
      </w:r>
    </w:p>
    <w:p w:rsidR="00000000" w:rsidDel="00000000" w:rsidP="00000000" w:rsidRDefault="00000000" w:rsidRPr="00000000" w14:paraId="000000AB">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C">
      <w:pPr>
        <w:pStyle w:val="Heading2"/>
        <w:rPr/>
      </w:pPr>
      <w:bookmarkStart w:colFirst="0" w:colLast="0" w:name="_pimnq5da7ypo" w:id="18"/>
      <w:bookmarkEnd w:id="18"/>
      <w:r w:rsidDel="00000000" w:rsidR="00000000" w:rsidRPr="00000000">
        <w:rPr>
          <w:b w:val="1"/>
          <w:sz w:val="34"/>
          <w:szCs w:val="34"/>
          <w:rtl w:val="0"/>
        </w:rPr>
        <w:t xml:space="preserve">4. Implementation and Project Delivery</w:t>
      </w:r>
      <w:r w:rsidDel="00000000" w:rsidR="00000000" w:rsidRPr="00000000">
        <w:rPr>
          <w:rtl w:val="0"/>
        </w:rPr>
      </w:r>
    </w:p>
    <w:p w:rsidR="00000000" w:rsidDel="00000000" w:rsidP="00000000" w:rsidRDefault="00000000" w:rsidRPr="00000000" w14:paraId="000000AD">
      <w:pPr>
        <w:pStyle w:val="Heading3"/>
        <w:rPr>
          <w:b w:val="1"/>
          <w:color w:val="000000"/>
          <w:sz w:val="26"/>
          <w:szCs w:val="26"/>
        </w:rPr>
      </w:pPr>
      <w:bookmarkStart w:colFirst="0" w:colLast="0" w:name="_swpb4fuhv6xh" w:id="19"/>
      <w:bookmarkEnd w:id="19"/>
      <w:r w:rsidDel="00000000" w:rsidR="00000000" w:rsidRPr="00000000">
        <w:rPr>
          <w:b w:val="1"/>
          <w:color w:val="000000"/>
          <w:sz w:val="26"/>
          <w:szCs w:val="26"/>
          <w:rtl w:val="0"/>
        </w:rPr>
        <w:t xml:space="preserve">4.1 Deployment Options (On-Prem, Cloud, Hybrid)</w:t>
      </w:r>
    </w:p>
    <w:p w:rsidR="00000000" w:rsidDel="00000000" w:rsidP="00000000" w:rsidRDefault="00000000" w:rsidRPr="00000000" w14:paraId="000000AE">
      <w:pPr>
        <w:numPr>
          <w:ilvl w:val="0"/>
          <w:numId w:val="2"/>
        </w:numPr>
        <w:spacing w:before="200" w:lineRule="auto"/>
        <w:ind w:left="720" w:hanging="360"/>
        <w:rPr>
          <w:u w:val="none"/>
        </w:rPr>
      </w:pPr>
      <w:r w:rsidDel="00000000" w:rsidR="00000000" w:rsidRPr="00000000">
        <w:rPr>
          <w:b w:val="1"/>
          <w:rtl w:val="0"/>
        </w:rPr>
        <w:t xml:space="preserve">On-Prem: </w:t>
      </w:r>
      <w:r w:rsidDel="00000000" w:rsidR="00000000" w:rsidRPr="00000000">
        <w:rPr>
          <w:rtl w:val="0"/>
        </w:rPr>
        <w:t xml:space="preserve">Managed appliances or VMs for localized data control and minimal external dependencies.  </w:t>
      </w:r>
    </w:p>
    <w:p w:rsidR="00000000" w:rsidDel="00000000" w:rsidP="00000000" w:rsidRDefault="00000000" w:rsidRPr="00000000" w14:paraId="000000AF">
      <w:pPr>
        <w:numPr>
          <w:ilvl w:val="0"/>
          <w:numId w:val="2"/>
        </w:numPr>
        <w:ind w:left="720" w:hanging="360"/>
        <w:rPr>
          <w:u w:val="none"/>
        </w:rPr>
      </w:pPr>
      <w:r w:rsidDel="00000000" w:rsidR="00000000" w:rsidRPr="00000000">
        <w:rPr>
          <w:b w:val="1"/>
          <w:rtl w:val="0"/>
        </w:rPr>
        <w:t xml:space="preserve">Cloud: </w:t>
      </w:r>
      <w:r w:rsidDel="00000000" w:rsidR="00000000" w:rsidRPr="00000000">
        <w:rPr>
          <w:rtl w:val="0"/>
        </w:rPr>
        <w:t xml:space="preserve">SaaS-based with strong encryption, data residency options, recognized compliance certifications.  </w:t>
      </w:r>
    </w:p>
    <w:p w:rsidR="00000000" w:rsidDel="00000000" w:rsidP="00000000" w:rsidRDefault="00000000" w:rsidRPr="00000000" w14:paraId="000000B0">
      <w:pPr>
        <w:numPr>
          <w:ilvl w:val="0"/>
          <w:numId w:val="2"/>
        </w:numPr>
        <w:ind w:left="720" w:hanging="360"/>
        <w:rPr>
          <w:u w:val="none"/>
        </w:rPr>
      </w:pPr>
      <w:r w:rsidDel="00000000" w:rsidR="00000000" w:rsidRPr="00000000">
        <w:rPr>
          <w:b w:val="1"/>
          <w:rtl w:val="0"/>
        </w:rPr>
        <w:t xml:space="preserve">Hybrid:</w:t>
      </w:r>
      <w:r w:rsidDel="00000000" w:rsidR="00000000" w:rsidRPr="00000000">
        <w:rPr>
          <w:rtl w:val="0"/>
        </w:rPr>
        <w:t xml:space="preserve"> Local data collectors or sensors relaying data to a centralized, cloud-hosted analytics and management console.</w:t>
      </w:r>
    </w:p>
    <w:p w:rsidR="00000000" w:rsidDel="00000000" w:rsidP="00000000" w:rsidRDefault="00000000" w:rsidRPr="00000000" w14:paraId="000000B1">
      <w:pPr>
        <w:pStyle w:val="Heading3"/>
        <w:rPr>
          <w:b w:val="1"/>
          <w:color w:val="000000"/>
          <w:sz w:val="26"/>
          <w:szCs w:val="26"/>
        </w:rPr>
      </w:pPr>
      <w:bookmarkStart w:colFirst="0" w:colLast="0" w:name="_bo0n97e675gl" w:id="20"/>
      <w:bookmarkEnd w:id="20"/>
      <w:r w:rsidDel="00000000" w:rsidR="00000000" w:rsidRPr="00000000">
        <w:rPr>
          <w:b w:val="1"/>
          <w:color w:val="000000"/>
          <w:sz w:val="26"/>
          <w:szCs w:val="26"/>
          <w:rtl w:val="0"/>
        </w:rPr>
        <w:t xml:space="preserve">4.2 Phased Rollout and Timelines</w:t>
      </w:r>
    </w:p>
    <w:p w:rsidR="00000000" w:rsidDel="00000000" w:rsidP="00000000" w:rsidRDefault="00000000" w:rsidRPr="00000000" w14:paraId="000000B2">
      <w:pPr>
        <w:numPr>
          <w:ilvl w:val="0"/>
          <w:numId w:val="4"/>
        </w:numPr>
        <w:spacing w:before="200" w:lineRule="auto"/>
        <w:ind w:left="720" w:hanging="360"/>
        <w:rPr>
          <w:b w:val="1"/>
        </w:rPr>
      </w:pPr>
      <w:r w:rsidDel="00000000" w:rsidR="00000000" w:rsidRPr="00000000">
        <w:rPr>
          <w:b w:val="1"/>
          <w:rtl w:val="0"/>
        </w:rPr>
        <w:t xml:space="preserve">Planning and Scoping  </w:t>
      </w:r>
    </w:p>
    <w:p w:rsidR="00000000" w:rsidDel="00000000" w:rsidP="00000000" w:rsidRDefault="00000000" w:rsidRPr="00000000" w14:paraId="000000B3">
      <w:pPr>
        <w:numPr>
          <w:ilvl w:val="0"/>
          <w:numId w:val="35"/>
        </w:numPr>
        <w:spacing w:after="0" w:before="200" w:lineRule="auto"/>
        <w:ind w:left="1440" w:hanging="360"/>
        <w:rPr>
          <w:u w:val="none"/>
        </w:rPr>
      </w:pPr>
      <w:r w:rsidDel="00000000" w:rsidR="00000000" w:rsidRPr="00000000">
        <w:rPr>
          <w:rtl w:val="0"/>
        </w:rPr>
        <w:t xml:space="preserve">Identification of key data repositories, risk analysis, stakeholder alignment, success metrics.  </w:t>
      </w:r>
    </w:p>
    <w:p w:rsidR="00000000" w:rsidDel="00000000" w:rsidP="00000000" w:rsidRDefault="00000000" w:rsidRPr="00000000" w14:paraId="000000B4">
      <w:pPr>
        <w:numPr>
          <w:ilvl w:val="0"/>
          <w:numId w:val="35"/>
        </w:numPr>
        <w:ind w:left="1440" w:hanging="360"/>
        <w:rPr>
          <w:u w:val="none"/>
        </w:rPr>
      </w:pPr>
      <w:r w:rsidDel="00000000" w:rsidR="00000000" w:rsidRPr="00000000">
        <w:rPr>
          <w:rtl w:val="0"/>
        </w:rPr>
        <w:t xml:space="preserve">Deliverables: Project charter, final scope, schedule, risk register.</w:t>
      </w:r>
    </w:p>
    <w:p w:rsidR="00000000" w:rsidDel="00000000" w:rsidP="00000000" w:rsidRDefault="00000000" w:rsidRPr="00000000" w14:paraId="000000B5">
      <w:pPr>
        <w:numPr>
          <w:ilvl w:val="0"/>
          <w:numId w:val="4"/>
        </w:numPr>
        <w:spacing w:after="0" w:before="200" w:lineRule="auto"/>
        <w:ind w:left="720" w:hanging="360"/>
        <w:rPr>
          <w:b w:val="1"/>
        </w:rPr>
      </w:pPr>
      <w:r w:rsidDel="00000000" w:rsidR="00000000" w:rsidRPr="00000000">
        <w:rPr>
          <w:b w:val="1"/>
          <w:rtl w:val="0"/>
        </w:rPr>
        <w:t xml:space="preserve">Pilot Deployment  </w:t>
      </w:r>
    </w:p>
    <w:p w:rsidR="00000000" w:rsidDel="00000000" w:rsidP="00000000" w:rsidRDefault="00000000" w:rsidRPr="00000000" w14:paraId="000000B6">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Limited environment or subset of data stores to test scanning accuracy, DSR workflows, and performance.  </w:t>
      </w:r>
    </w:p>
    <w:p w:rsidR="00000000" w:rsidDel="00000000" w:rsidP="00000000" w:rsidRDefault="00000000" w:rsidRPr="00000000" w14:paraId="000000B7">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Deliverables: Pilot findings, acceptance test results, refined architecture.</w:t>
      </w:r>
    </w:p>
    <w:p w:rsidR="00000000" w:rsidDel="00000000" w:rsidP="00000000" w:rsidRDefault="00000000" w:rsidRPr="00000000" w14:paraId="000000B8">
      <w:pPr>
        <w:numPr>
          <w:ilvl w:val="0"/>
          <w:numId w:val="4"/>
        </w:numPr>
        <w:spacing w:after="0" w:before="200" w:lineRule="auto"/>
        <w:ind w:left="720" w:hanging="360"/>
        <w:rPr>
          <w:b w:val="1"/>
        </w:rPr>
      </w:pPr>
      <w:r w:rsidDel="00000000" w:rsidR="00000000" w:rsidRPr="00000000">
        <w:rPr>
          <w:b w:val="1"/>
          <w:rtl w:val="0"/>
        </w:rPr>
        <w:t xml:space="preserve">Production Rollout  </w:t>
      </w:r>
    </w:p>
    <w:p w:rsidR="00000000" w:rsidDel="00000000" w:rsidP="00000000" w:rsidRDefault="00000000" w:rsidRPr="00000000" w14:paraId="000000B9">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Gradual extension to all relevant data sources, integrated systems, or business units.  </w:t>
      </w:r>
    </w:p>
    <w:p w:rsidR="00000000" w:rsidDel="00000000" w:rsidP="00000000" w:rsidRDefault="00000000" w:rsidRPr="00000000" w14:paraId="000000BA">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Deliverables: Production environment configurations, user training, readiness sign-off.</w:t>
      </w:r>
    </w:p>
    <w:p w:rsidR="00000000" w:rsidDel="00000000" w:rsidP="00000000" w:rsidRDefault="00000000" w:rsidRPr="00000000" w14:paraId="000000BB">
      <w:pPr>
        <w:numPr>
          <w:ilvl w:val="0"/>
          <w:numId w:val="4"/>
        </w:numPr>
        <w:spacing w:after="0" w:before="200" w:lineRule="auto"/>
        <w:ind w:left="720" w:hanging="360"/>
        <w:rPr>
          <w:b w:val="1"/>
        </w:rPr>
      </w:pPr>
      <w:r w:rsidDel="00000000" w:rsidR="00000000" w:rsidRPr="00000000">
        <w:rPr>
          <w:b w:val="1"/>
          <w:rtl w:val="0"/>
        </w:rPr>
        <w:t xml:space="preserve">Optimization and Maintenance  </w:t>
      </w:r>
    </w:p>
    <w:p w:rsidR="00000000" w:rsidDel="00000000" w:rsidP="00000000" w:rsidRDefault="00000000" w:rsidRPr="00000000" w14:paraId="000000BC">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Continuous fine-tuning of classification rules, incident detection thresholds, DSR automations.  </w:t>
      </w:r>
    </w:p>
    <w:p w:rsidR="00000000" w:rsidDel="00000000" w:rsidP="00000000" w:rsidRDefault="00000000" w:rsidRPr="00000000" w14:paraId="000000BD">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Deliverables: Updated runbooks, final project documentation, knowledge transfer sessions.</w:t>
      </w:r>
    </w:p>
    <w:p w:rsidR="00000000" w:rsidDel="00000000" w:rsidP="00000000" w:rsidRDefault="00000000" w:rsidRPr="00000000" w14:paraId="000000BE">
      <w:pPr>
        <w:pStyle w:val="Heading3"/>
        <w:rPr>
          <w:b w:val="1"/>
          <w:color w:val="000000"/>
          <w:sz w:val="26"/>
          <w:szCs w:val="26"/>
        </w:rPr>
      </w:pPr>
      <w:bookmarkStart w:colFirst="0" w:colLast="0" w:name="_a0ooklzi8a5s" w:id="21"/>
      <w:bookmarkEnd w:id="21"/>
      <w:r w:rsidDel="00000000" w:rsidR="00000000" w:rsidRPr="00000000">
        <w:rPr>
          <w:b w:val="1"/>
          <w:color w:val="000000"/>
          <w:sz w:val="26"/>
          <w:szCs w:val="26"/>
          <w:rtl w:val="0"/>
        </w:rPr>
        <w:t xml:space="preserve">4.3 Training, Knowledge Transfer, and Change Management</w:t>
      </w:r>
    </w:p>
    <w:p w:rsidR="00000000" w:rsidDel="00000000" w:rsidP="00000000" w:rsidRDefault="00000000" w:rsidRPr="00000000" w14:paraId="000000BF">
      <w:pPr>
        <w:numPr>
          <w:ilvl w:val="0"/>
          <w:numId w:val="23"/>
        </w:numPr>
        <w:spacing w:before="200" w:lineRule="auto"/>
        <w:ind w:left="720" w:hanging="360"/>
        <w:rPr>
          <w:u w:val="none"/>
        </w:rPr>
      </w:pPr>
      <w:r w:rsidDel="00000000" w:rsidR="00000000" w:rsidRPr="00000000">
        <w:rPr>
          <w:b w:val="1"/>
          <w:rtl w:val="0"/>
        </w:rPr>
        <w:t xml:space="preserve">Technical Workshops:</w:t>
      </w:r>
      <w:r w:rsidDel="00000000" w:rsidR="00000000" w:rsidRPr="00000000">
        <w:rPr>
          <w:rtl w:val="0"/>
        </w:rPr>
        <w:t xml:space="preserve"> Deep dive training for IT, security, and privacy teams on solution usage, policy creation, advanced scanning.  </w:t>
      </w:r>
    </w:p>
    <w:p w:rsidR="00000000" w:rsidDel="00000000" w:rsidP="00000000" w:rsidRDefault="00000000" w:rsidRPr="00000000" w14:paraId="000000C0">
      <w:pPr>
        <w:numPr>
          <w:ilvl w:val="0"/>
          <w:numId w:val="23"/>
        </w:numPr>
        <w:ind w:left="720" w:hanging="360"/>
        <w:rPr>
          <w:u w:val="none"/>
        </w:rPr>
      </w:pPr>
      <w:r w:rsidDel="00000000" w:rsidR="00000000" w:rsidRPr="00000000">
        <w:rPr>
          <w:b w:val="1"/>
          <w:rtl w:val="0"/>
        </w:rPr>
        <w:t xml:space="preserve">Executive Awareness: </w:t>
      </w:r>
      <w:r w:rsidDel="00000000" w:rsidR="00000000" w:rsidRPr="00000000">
        <w:rPr>
          <w:rtl w:val="0"/>
        </w:rPr>
        <w:t xml:space="preserve">Summaries for leadership highlighting compliance posture, ROI, major privacy risk metrics.  </w:t>
      </w:r>
    </w:p>
    <w:p w:rsidR="00000000" w:rsidDel="00000000" w:rsidP="00000000" w:rsidRDefault="00000000" w:rsidRPr="00000000" w14:paraId="000000C1">
      <w:pPr>
        <w:numPr>
          <w:ilvl w:val="0"/>
          <w:numId w:val="23"/>
        </w:numPr>
        <w:ind w:left="720" w:hanging="360"/>
        <w:rPr>
          <w:u w:val="none"/>
        </w:rPr>
      </w:pPr>
      <w:r w:rsidDel="00000000" w:rsidR="00000000" w:rsidRPr="00000000">
        <w:rPr>
          <w:b w:val="1"/>
          <w:rtl w:val="0"/>
        </w:rPr>
        <w:t xml:space="preserve">Documentation:</w:t>
      </w:r>
      <w:r w:rsidDel="00000000" w:rsidR="00000000" w:rsidRPr="00000000">
        <w:rPr>
          <w:rtl w:val="0"/>
        </w:rPr>
        <w:t xml:space="preserve"> Thorough user manuals, best practice guides, runbooks for incident handling, knowledge base references.</w:t>
      </w:r>
    </w:p>
    <w:p w:rsidR="00000000" w:rsidDel="00000000" w:rsidP="00000000" w:rsidRDefault="00000000" w:rsidRPr="00000000" w14:paraId="000000C2">
      <w:pPr>
        <w:pStyle w:val="Heading3"/>
        <w:rPr>
          <w:b w:val="1"/>
          <w:color w:val="000000"/>
          <w:sz w:val="26"/>
          <w:szCs w:val="26"/>
        </w:rPr>
      </w:pPr>
      <w:bookmarkStart w:colFirst="0" w:colLast="0" w:name="_x3upj1ttkoe2" w:id="22"/>
      <w:bookmarkEnd w:id="22"/>
      <w:r w:rsidDel="00000000" w:rsidR="00000000" w:rsidRPr="00000000">
        <w:rPr>
          <w:b w:val="1"/>
          <w:color w:val="000000"/>
          <w:sz w:val="26"/>
          <w:szCs w:val="26"/>
          <w:rtl w:val="0"/>
        </w:rPr>
        <w:t xml:space="preserve">4.4 Risk Management and Contingency Planning</w:t>
      </w:r>
    </w:p>
    <w:p w:rsidR="00000000" w:rsidDel="00000000" w:rsidP="00000000" w:rsidRDefault="00000000" w:rsidRPr="00000000" w14:paraId="000000C3">
      <w:pPr>
        <w:numPr>
          <w:ilvl w:val="0"/>
          <w:numId w:val="31"/>
        </w:numPr>
        <w:spacing w:before="200" w:lineRule="auto"/>
        <w:ind w:left="720" w:hanging="360"/>
        <w:rPr>
          <w:u w:val="none"/>
        </w:rPr>
      </w:pPr>
      <w:r w:rsidDel="00000000" w:rsidR="00000000" w:rsidRPr="00000000">
        <w:rPr>
          <w:b w:val="1"/>
          <w:rtl w:val="0"/>
        </w:rPr>
        <w:t xml:space="preserve">Identified Risks:</w:t>
      </w:r>
      <w:r w:rsidDel="00000000" w:rsidR="00000000" w:rsidRPr="00000000">
        <w:rPr>
          <w:rtl w:val="0"/>
        </w:rPr>
        <w:t xml:space="preserve"> Potential system disruptions, unscanned data sources, partial vendor acceptance, or scanning load on legacy systems.  </w:t>
      </w:r>
    </w:p>
    <w:p w:rsidR="00000000" w:rsidDel="00000000" w:rsidP="00000000" w:rsidRDefault="00000000" w:rsidRPr="00000000" w14:paraId="000000C4">
      <w:pPr>
        <w:numPr>
          <w:ilvl w:val="0"/>
          <w:numId w:val="31"/>
        </w:numPr>
        <w:ind w:left="720" w:hanging="360"/>
        <w:rPr>
          <w:u w:val="none"/>
        </w:rPr>
      </w:pPr>
      <w:r w:rsidDel="00000000" w:rsidR="00000000" w:rsidRPr="00000000">
        <w:rPr>
          <w:b w:val="1"/>
          <w:rtl w:val="0"/>
        </w:rPr>
        <w:t xml:space="preserve">Mitigation:</w:t>
      </w:r>
      <w:r w:rsidDel="00000000" w:rsidR="00000000" w:rsidRPr="00000000">
        <w:rPr>
          <w:rtl w:val="0"/>
        </w:rPr>
        <w:t xml:space="preserve"> Incremental adoption, robust pilot expansions, fallback scanning intervals.  </w:t>
      </w:r>
    </w:p>
    <w:p w:rsidR="00000000" w:rsidDel="00000000" w:rsidP="00000000" w:rsidRDefault="00000000" w:rsidRPr="00000000" w14:paraId="000000C5">
      <w:pPr>
        <w:numPr>
          <w:ilvl w:val="0"/>
          <w:numId w:val="31"/>
        </w:numPr>
        <w:ind w:left="720" w:hanging="360"/>
        <w:rPr>
          <w:u w:val="none"/>
        </w:rPr>
      </w:pPr>
      <w:r w:rsidDel="00000000" w:rsidR="00000000" w:rsidRPr="00000000">
        <w:rPr>
          <w:b w:val="1"/>
          <w:rtl w:val="0"/>
        </w:rPr>
        <w:t xml:space="preserve">Contingency: </w:t>
      </w:r>
      <w:r w:rsidDel="00000000" w:rsidR="00000000" w:rsidRPr="00000000">
        <w:rPr>
          <w:rtl w:val="0"/>
        </w:rPr>
        <w:t xml:space="preserve">Rollback procedures or vendor escalation channels for major deployment issues, short-term alternative scanning solutions.</w:t>
      </w:r>
    </w:p>
    <w:p w:rsidR="00000000" w:rsidDel="00000000" w:rsidP="00000000" w:rsidRDefault="00000000" w:rsidRPr="00000000" w14:paraId="000000C6">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7">
      <w:pPr>
        <w:pStyle w:val="Heading2"/>
        <w:rPr>
          <w:b w:val="1"/>
          <w:sz w:val="34"/>
          <w:szCs w:val="34"/>
        </w:rPr>
      </w:pPr>
      <w:bookmarkStart w:colFirst="0" w:colLast="0" w:name="_wd9jvpdze22d" w:id="23"/>
      <w:bookmarkEnd w:id="23"/>
      <w:r w:rsidDel="00000000" w:rsidR="00000000" w:rsidRPr="00000000">
        <w:rPr>
          <w:b w:val="1"/>
          <w:sz w:val="34"/>
          <w:szCs w:val="34"/>
          <w:rtl w:val="0"/>
        </w:rPr>
        <w:t xml:space="preserve">5. Vendor Qualifications and Experience</w:t>
      </w:r>
    </w:p>
    <w:p w:rsidR="00000000" w:rsidDel="00000000" w:rsidP="00000000" w:rsidRDefault="00000000" w:rsidRPr="00000000" w14:paraId="000000C8">
      <w:pPr>
        <w:pStyle w:val="Heading3"/>
        <w:rPr>
          <w:b w:val="1"/>
          <w:color w:val="000000"/>
          <w:sz w:val="26"/>
          <w:szCs w:val="26"/>
        </w:rPr>
      </w:pPr>
      <w:bookmarkStart w:colFirst="0" w:colLast="0" w:name="_amfmog9v9en5" w:id="24"/>
      <w:bookmarkEnd w:id="24"/>
      <w:r w:rsidDel="00000000" w:rsidR="00000000" w:rsidRPr="00000000">
        <w:rPr>
          <w:b w:val="1"/>
          <w:color w:val="000000"/>
          <w:sz w:val="26"/>
          <w:szCs w:val="26"/>
          <w:rtl w:val="0"/>
        </w:rPr>
        <w:t xml:space="preserve">5.1 Company Overview and Financial Stability</w:t>
      </w:r>
    </w:p>
    <w:p w:rsidR="00000000" w:rsidDel="00000000" w:rsidP="00000000" w:rsidRDefault="00000000" w:rsidRPr="00000000" w14:paraId="000000C9">
      <w:pPr>
        <w:numPr>
          <w:ilvl w:val="0"/>
          <w:numId w:val="44"/>
        </w:numPr>
        <w:spacing w:before="200" w:lineRule="auto"/>
        <w:ind w:left="720" w:hanging="360"/>
        <w:rPr>
          <w:u w:val="none"/>
        </w:rPr>
      </w:pPr>
      <w:r w:rsidDel="00000000" w:rsidR="00000000" w:rsidRPr="00000000">
        <w:rPr>
          <w:b w:val="1"/>
          <w:rtl w:val="0"/>
        </w:rPr>
        <w:t xml:space="preserve">Corporate Profile: </w:t>
      </w:r>
      <w:r w:rsidDel="00000000" w:rsidR="00000000" w:rsidRPr="00000000">
        <w:rPr>
          <w:rtl w:val="0"/>
        </w:rPr>
        <w:t xml:space="preserve">Founding year, strategic focus on privacy or cybersecurity, acquisition history, or leadership credentials.  </w:t>
      </w:r>
    </w:p>
    <w:p w:rsidR="00000000" w:rsidDel="00000000" w:rsidP="00000000" w:rsidRDefault="00000000" w:rsidRPr="00000000" w14:paraId="000000CA">
      <w:pPr>
        <w:numPr>
          <w:ilvl w:val="0"/>
          <w:numId w:val="44"/>
        </w:numPr>
        <w:ind w:left="720" w:hanging="360"/>
        <w:rPr>
          <w:u w:val="none"/>
        </w:rPr>
      </w:pPr>
      <w:r w:rsidDel="00000000" w:rsidR="00000000" w:rsidRPr="00000000">
        <w:rPr>
          <w:b w:val="1"/>
          <w:rtl w:val="0"/>
        </w:rPr>
        <w:t xml:space="preserve">Financial Health: </w:t>
      </w:r>
      <w:r w:rsidDel="00000000" w:rsidR="00000000" w:rsidRPr="00000000">
        <w:rPr>
          <w:rtl w:val="0"/>
        </w:rPr>
        <w:t xml:space="preserve">Indication of stable revenue, profitability, or investor backing ensuring vendor longevity.  </w:t>
      </w:r>
    </w:p>
    <w:p w:rsidR="00000000" w:rsidDel="00000000" w:rsidP="00000000" w:rsidRDefault="00000000" w:rsidRPr="00000000" w14:paraId="000000CB">
      <w:pPr>
        <w:numPr>
          <w:ilvl w:val="0"/>
          <w:numId w:val="44"/>
        </w:numPr>
        <w:ind w:left="720" w:hanging="360"/>
        <w:rPr>
          <w:u w:val="none"/>
        </w:rPr>
      </w:pPr>
      <w:r w:rsidDel="00000000" w:rsidR="00000000" w:rsidRPr="00000000">
        <w:rPr>
          <w:b w:val="1"/>
          <w:rtl w:val="0"/>
        </w:rPr>
        <w:t xml:space="preserve">Strategic Partnerships:</w:t>
      </w:r>
      <w:r w:rsidDel="00000000" w:rsidR="00000000" w:rsidRPr="00000000">
        <w:rPr>
          <w:rtl w:val="0"/>
        </w:rPr>
        <w:t xml:space="preserve"> Alliances with major security platforms, cloud providers, or recognized privacy frameworks.</w:t>
      </w:r>
    </w:p>
    <w:p w:rsidR="00000000" w:rsidDel="00000000" w:rsidP="00000000" w:rsidRDefault="00000000" w:rsidRPr="00000000" w14:paraId="000000CC">
      <w:pPr>
        <w:pStyle w:val="Heading3"/>
        <w:rPr>
          <w:b w:val="1"/>
          <w:color w:val="000000"/>
          <w:sz w:val="26"/>
          <w:szCs w:val="26"/>
        </w:rPr>
      </w:pPr>
      <w:bookmarkStart w:colFirst="0" w:colLast="0" w:name="_uri8mqhsdpd4" w:id="25"/>
      <w:bookmarkEnd w:id="25"/>
      <w:r w:rsidDel="00000000" w:rsidR="00000000" w:rsidRPr="00000000">
        <w:rPr>
          <w:b w:val="1"/>
          <w:color w:val="000000"/>
          <w:sz w:val="26"/>
          <w:szCs w:val="26"/>
          <w:rtl w:val="0"/>
        </w:rPr>
        <w:t xml:space="preserve">5.2 MODPA/Consumer Privacy Expertise and Track Record</w:t>
      </w:r>
    </w:p>
    <w:p w:rsidR="00000000" w:rsidDel="00000000" w:rsidP="00000000" w:rsidRDefault="00000000" w:rsidRPr="00000000" w14:paraId="000000CD">
      <w:pPr>
        <w:numPr>
          <w:ilvl w:val="0"/>
          <w:numId w:val="15"/>
        </w:numPr>
        <w:spacing w:before="200" w:lineRule="auto"/>
        <w:ind w:left="720" w:hanging="360"/>
        <w:rPr>
          <w:u w:val="none"/>
        </w:rPr>
      </w:pPr>
      <w:r w:rsidDel="00000000" w:rsidR="00000000" w:rsidRPr="00000000">
        <w:rPr>
          <w:b w:val="1"/>
          <w:rtl w:val="0"/>
        </w:rPr>
        <w:t xml:space="preserve">Demonstrated Knowledge:</w:t>
      </w:r>
      <w:r w:rsidDel="00000000" w:rsidR="00000000" w:rsidRPr="00000000">
        <w:rPr>
          <w:rtl w:val="0"/>
        </w:rPr>
        <w:t xml:space="preserve"> Familiarity with state-level privacy laws, especially new or emerging legislation like MODPA.  </w:t>
      </w:r>
    </w:p>
    <w:p w:rsidR="00000000" w:rsidDel="00000000" w:rsidP="00000000" w:rsidRDefault="00000000" w:rsidRPr="00000000" w14:paraId="000000CE">
      <w:pPr>
        <w:numPr>
          <w:ilvl w:val="0"/>
          <w:numId w:val="15"/>
        </w:numPr>
        <w:ind w:left="720" w:hanging="360"/>
        <w:rPr>
          <w:u w:val="none"/>
        </w:rPr>
      </w:pPr>
      <w:r w:rsidDel="00000000" w:rsidR="00000000" w:rsidRPr="00000000">
        <w:rPr>
          <w:b w:val="1"/>
          <w:rtl w:val="0"/>
        </w:rPr>
        <w:t xml:space="preserve">References:</w:t>
      </w:r>
      <w:r w:rsidDel="00000000" w:rsidR="00000000" w:rsidRPr="00000000">
        <w:rPr>
          <w:rtl w:val="0"/>
        </w:rPr>
        <w:t xml:space="preserve"> Case studies from organizations with similar consumer privacy demands, possibly multi-state compliance footprints.  </w:t>
      </w:r>
    </w:p>
    <w:p w:rsidR="00000000" w:rsidDel="00000000" w:rsidP="00000000" w:rsidRDefault="00000000" w:rsidRPr="00000000" w14:paraId="000000CF">
      <w:pPr>
        <w:numPr>
          <w:ilvl w:val="0"/>
          <w:numId w:val="15"/>
        </w:numPr>
        <w:ind w:left="720" w:hanging="360"/>
        <w:rPr>
          <w:u w:val="none"/>
        </w:rPr>
      </w:pPr>
      <w:r w:rsidDel="00000000" w:rsidR="00000000" w:rsidRPr="00000000">
        <w:rPr>
          <w:b w:val="1"/>
          <w:rtl w:val="0"/>
        </w:rPr>
        <w:t xml:space="preserve">Success Metrics: </w:t>
      </w:r>
      <w:r w:rsidDel="00000000" w:rsidR="00000000" w:rsidRPr="00000000">
        <w:rPr>
          <w:rtl w:val="0"/>
        </w:rPr>
        <w:t xml:space="preserve">Reductions in data breach frequency, improved response times to consumer rights requests, or streamlined compliance overhead in previous deployments.</w:t>
      </w:r>
    </w:p>
    <w:p w:rsidR="00000000" w:rsidDel="00000000" w:rsidP="00000000" w:rsidRDefault="00000000" w:rsidRPr="00000000" w14:paraId="000000D0">
      <w:pPr>
        <w:pStyle w:val="Heading3"/>
        <w:rPr>
          <w:b w:val="1"/>
          <w:color w:val="000000"/>
          <w:sz w:val="26"/>
          <w:szCs w:val="26"/>
        </w:rPr>
      </w:pPr>
      <w:bookmarkStart w:colFirst="0" w:colLast="0" w:name="_vtzgfxw4i4w" w:id="26"/>
      <w:bookmarkEnd w:id="26"/>
      <w:r w:rsidDel="00000000" w:rsidR="00000000" w:rsidRPr="00000000">
        <w:rPr>
          <w:b w:val="1"/>
          <w:color w:val="000000"/>
          <w:sz w:val="26"/>
          <w:szCs w:val="26"/>
          <w:rtl w:val="0"/>
        </w:rPr>
        <w:t xml:space="preserve">5.3 Industry Experience and Case Studies</w:t>
      </w:r>
    </w:p>
    <w:p w:rsidR="00000000" w:rsidDel="00000000" w:rsidP="00000000" w:rsidRDefault="00000000" w:rsidRPr="00000000" w14:paraId="000000D1">
      <w:pPr>
        <w:numPr>
          <w:ilvl w:val="0"/>
          <w:numId w:val="40"/>
        </w:numPr>
        <w:spacing w:before="200" w:lineRule="auto"/>
        <w:ind w:left="720" w:hanging="360"/>
        <w:rPr>
          <w:u w:val="none"/>
        </w:rPr>
      </w:pPr>
      <w:r w:rsidDel="00000000" w:rsidR="00000000" w:rsidRPr="00000000">
        <w:rPr>
          <w:b w:val="1"/>
          <w:rtl w:val="0"/>
        </w:rPr>
        <w:t xml:space="preserve">Verticals: </w:t>
      </w:r>
      <w:r w:rsidDel="00000000" w:rsidR="00000000" w:rsidRPr="00000000">
        <w:rPr>
          <w:rtl w:val="0"/>
        </w:rPr>
        <w:t xml:space="preserve">Finance, retail, healthcare, e-commerce, or technology, especially those with complex data footprints.  </w:t>
      </w:r>
    </w:p>
    <w:p w:rsidR="00000000" w:rsidDel="00000000" w:rsidP="00000000" w:rsidRDefault="00000000" w:rsidRPr="00000000" w14:paraId="000000D2">
      <w:pPr>
        <w:numPr>
          <w:ilvl w:val="0"/>
          <w:numId w:val="40"/>
        </w:numPr>
        <w:ind w:left="720" w:hanging="360"/>
        <w:rPr>
          <w:u w:val="none"/>
        </w:rPr>
      </w:pPr>
      <w:r w:rsidDel="00000000" w:rsidR="00000000" w:rsidRPr="00000000">
        <w:rPr>
          <w:b w:val="1"/>
          <w:rtl w:val="0"/>
        </w:rPr>
        <w:t xml:space="preserve">Deployment Scale: </w:t>
      </w:r>
      <w:r w:rsidDel="00000000" w:rsidR="00000000" w:rsidRPr="00000000">
        <w:rPr>
          <w:rtl w:val="0"/>
        </w:rPr>
        <w:t xml:space="preserve">Experience scanning millions of data records or thousands of endpoints spanning multiple geographies.  </w:t>
      </w:r>
    </w:p>
    <w:p w:rsidR="00000000" w:rsidDel="00000000" w:rsidP="00000000" w:rsidRDefault="00000000" w:rsidRPr="00000000" w14:paraId="000000D3">
      <w:pPr>
        <w:numPr>
          <w:ilvl w:val="0"/>
          <w:numId w:val="40"/>
        </w:numPr>
        <w:ind w:left="720" w:hanging="360"/>
        <w:rPr>
          <w:u w:val="none"/>
        </w:rPr>
      </w:pPr>
      <w:r w:rsidDel="00000000" w:rsidR="00000000" w:rsidRPr="00000000">
        <w:rPr>
          <w:b w:val="1"/>
          <w:rtl w:val="0"/>
        </w:rPr>
        <w:t xml:space="preserve">Innovation:</w:t>
      </w:r>
      <w:r w:rsidDel="00000000" w:rsidR="00000000" w:rsidRPr="00000000">
        <w:rPr>
          <w:rtl w:val="0"/>
        </w:rPr>
        <w:t xml:space="preserve"> Demonstrated integration success or advanced analytics capabilities that differentiate them from competitors.</w:t>
      </w:r>
    </w:p>
    <w:p w:rsidR="00000000" w:rsidDel="00000000" w:rsidP="00000000" w:rsidRDefault="00000000" w:rsidRPr="00000000" w14:paraId="000000D4">
      <w:pPr>
        <w:pStyle w:val="Heading3"/>
        <w:rPr>
          <w:b w:val="1"/>
          <w:color w:val="000000"/>
          <w:sz w:val="26"/>
          <w:szCs w:val="26"/>
        </w:rPr>
      </w:pPr>
      <w:bookmarkStart w:colFirst="0" w:colLast="0" w:name="_pjn92mj44sqh" w:id="27"/>
      <w:bookmarkEnd w:id="27"/>
      <w:r w:rsidDel="00000000" w:rsidR="00000000" w:rsidRPr="00000000">
        <w:rPr>
          <w:b w:val="1"/>
          <w:color w:val="000000"/>
          <w:sz w:val="26"/>
          <w:szCs w:val="26"/>
          <w:rtl w:val="0"/>
        </w:rPr>
        <w:t xml:space="preserve">5.4 Certifications, Accreditations, and Partnerships</w:t>
      </w:r>
    </w:p>
    <w:p w:rsidR="00000000" w:rsidDel="00000000" w:rsidP="00000000" w:rsidRDefault="00000000" w:rsidRPr="00000000" w14:paraId="000000D5">
      <w:pPr>
        <w:numPr>
          <w:ilvl w:val="0"/>
          <w:numId w:val="28"/>
        </w:numPr>
        <w:spacing w:before="200" w:lineRule="auto"/>
        <w:ind w:left="720" w:hanging="360"/>
        <w:rPr>
          <w:u w:val="none"/>
        </w:rPr>
      </w:pPr>
      <w:r w:rsidDel="00000000" w:rsidR="00000000" w:rsidRPr="00000000">
        <w:rPr>
          <w:b w:val="1"/>
          <w:rtl w:val="0"/>
        </w:rPr>
        <w:t xml:space="preserve">Security Standards:</w:t>
      </w:r>
      <w:r w:rsidDel="00000000" w:rsidR="00000000" w:rsidRPr="00000000">
        <w:rPr>
          <w:rtl w:val="0"/>
        </w:rPr>
        <w:t xml:space="preserve"> ISO 27001, SOC 2, FedRAMP (if cloud-based), or recognized privacy certifications (e.g., APEC CBPR).  </w:t>
      </w:r>
    </w:p>
    <w:p w:rsidR="00000000" w:rsidDel="00000000" w:rsidP="00000000" w:rsidRDefault="00000000" w:rsidRPr="00000000" w14:paraId="000000D6">
      <w:pPr>
        <w:numPr>
          <w:ilvl w:val="0"/>
          <w:numId w:val="28"/>
        </w:numPr>
        <w:ind w:left="720" w:hanging="360"/>
        <w:rPr>
          <w:u w:val="none"/>
        </w:rPr>
      </w:pPr>
      <w:r w:rsidDel="00000000" w:rsidR="00000000" w:rsidRPr="00000000">
        <w:rPr>
          <w:b w:val="1"/>
          <w:rtl w:val="0"/>
        </w:rPr>
        <w:t xml:space="preserve">Regulatory Guidance: </w:t>
      </w:r>
      <w:r w:rsidDel="00000000" w:rsidR="00000000" w:rsidRPr="00000000">
        <w:rPr>
          <w:rtl w:val="0"/>
        </w:rPr>
        <w:t xml:space="preserve">Known endorsements from privacy alliances or data protection authorities.  </w:t>
      </w:r>
    </w:p>
    <w:p w:rsidR="00000000" w:rsidDel="00000000" w:rsidP="00000000" w:rsidRDefault="00000000" w:rsidRPr="00000000" w14:paraId="000000D7">
      <w:pPr>
        <w:numPr>
          <w:ilvl w:val="0"/>
          <w:numId w:val="28"/>
        </w:numPr>
        <w:ind w:left="720" w:hanging="360"/>
        <w:rPr>
          <w:u w:val="none"/>
        </w:rPr>
      </w:pPr>
      <w:r w:rsidDel="00000000" w:rsidR="00000000" w:rsidRPr="00000000">
        <w:rPr>
          <w:b w:val="1"/>
          <w:rtl w:val="0"/>
        </w:rPr>
        <w:t xml:space="preserve">Analyst Mentions: </w:t>
      </w:r>
      <w:r w:rsidDel="00000000" w:rsidR="00000000" w:rsidRPr="00000000">
        <w:rPr>
          <w:rtl w:val="0"/>
        </w:rPr>
        <w:t xml:space="preserve">Inclusion in recognized data security or privacy market reports/analyses.</w:t>
      </w:r>
    </w:p>
    <w:p w:rsidR="00000000" w:rsidDel="00000000" w:rsidP="00000000" w:rsidRDefault="00000000" w:rsidRPr="00000000" w14:paraId="000000D8">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9">
      <w:pPr>
        <w:pStyle w:val="Heading2"/>
        <w:rPr>
          <w:b w:val="1"/>
          <w:sz w:val="34"/>
          <w:szCs w:val="34"/>
        </w:rPr>
      </w:pPr>
      <w:bookmarkStart w:colFirst="0" w:colLast="0" w:name="_eo0av4swregs" w:id="28"/>
      <w:bookmarkEnd w:id="28"/>
      <w:r w:rsidDel="00000000" w:rsidR="00000000" w:rsidRPr="00000000">
        <w:rPr>
          <w:b w:val="1"/>
          <w:sz w:val="34"/>
          <w:szCs w:val="34"/>
          <w:rtl w:val="0"/>
        </w:rPr>
        <w:t xml:space="preserve">6. Pricing and Commercial Terms</w:t>
      </w:r>
    </w:p>
    <w:p w:rsidR="00000000" w:rsidDel="00000000" w:rsidP="00000000" w:rsidRDefault="00000000" w:rsidRPr="00000000" w14:paraId="000000DA">
      <w:pPr>
        <w:pStyle w:val="Heading3"/>
        <w:rPr>
          <w:b w:val="1"/>
          <w:color w:val="000000"/>
          <w:sz w:val="26"/>
          <w:szCs w:val="26"/>
        </w:rPr>
      </w:pPr>
      <w:bookmarkStart w:colFirst="0" w:colLast="0" w:name="_s8lmvy2ldc6m" w:id="29"/>
      <w:bookmarkEnd w:id="29"/>
      <w:r w:rsidDel="00000000" w:rsidR="00000000" w:rsidRPr="00000000">
        <w:rPr>
          <w:b w:val="1"/>
          <w:color w:val="000000"/>
          <w:sz w:val="26"/>
          <w:szCs w:val="26"/>
          <w:rtl w:val="0"/>
        </w:rPr>
        <w:t xml:space="preserve">6.1 Licensing Model (Subscription, Per-Asset, Enterprise)</w:t>
      </w:r>
    </w:p>
    <w:p w:rsidR="00000000" w:rsidDel="00000000" w:rsidP="00000000" w:rsidRDefault="00000000" w:rsidRPr="00000000" w14:paraId="000000DB">
      <w:pPr>
        <w:numPr>
          <w:ilvl w:val="0"/>
          <w:numId w:val="36"/>
        </w:numPr>
        <w:spacing w:before="200" w:lineRule="auto"/>
        <w:ind w:left="720" w:hanging="360"/>
        <w:rPr>
          <w:u w:val="none"/>
        </w:rPr>
      </w:pPr>
      <w:r w:rsidDel="00000000" w:rsidR="00000000" w:rsidRPr="00000000">
        <w:rPr>
          <w:b w:val="1"/>
          <w:rtl w:val="0"/>
        </w:rPr>
        <w:t xml:space="preserve">Subscription:</w:t>
      </w:r>
      <w:r w:rsidDel="00000000" w:rsidR="00000000" w:rsidRPr="00000000">
        <w:rPr>
          <w:rtl w:val="0"/>
        </w:rPr>
        <w:t xml:space="preserve"> Annual or multi-year license fees, possibly scaled by volume of data or integrated systems.  </w:t>
      </w:r>
    </w:p>
    <w:p w:rsidR="00000000" w:rsidDel="00000000" w:rsidP="00000000" w:rsidRDefault="00000000" w:rsidRPr="00000000" w14:paraId="000000DC">
      <w:pPr>
        <w:numPr>
          <w:ilvl w:val="0"/>
          <w:numId w:val="36"/>
        </w:numPr>
        <w:ind w:left="720" w:hanging="360"/>
        <w:rPr>
          <w:u w:val="none"/>
        </w:rPr>
      </w:pPr>
      <w:r w:rsidDel="00000000" w:rsidR="00000000" w:rsidRPr="00000000">
        <w:rPr>
          <w:b w:val="1"/>
          <w:rtl w:val="0"/>
        </w:rPr>
        <w:t xml:space="preserve">Per-Asset: </w:t>
      </w:r>
      <w:r w:rsidDel="00000000" w:rsidR="00000000" w:rsidRPr="00000000">
        <w:rPr>
          <w:rtl w:val="0"/>
        </w:rPr>
        <w:t xml:space="preserve">Cost structure based on data repositories, devices, or endpoints handled by the solution.  </w:t>
      </w:r>
    </w:p>
    <w:p w:rsidR="00000000" w:rsidDel="00000000" w:rsidP="00000000" w:rsidRDefault="00000000" w:rsidRPr="00000000" w14:paraId="000000DD">
      <w:pPr>
        <w:numPr>
          <w:ilvl w:val="0"/>
          <w:numId w:val="36"/>
        </w:numPr>
        <w:ind w:left="720" w:hanging="360"/>
        <w:rPr>
          <w:u w:val="none"/>
        </w:rPr>
      </w:pPr>
      <w:r w:rsidDel="00000000" w:rsidR="00000000" w:rsidRPr="00000000">
        <w:rPr>
          <w:b w:val="1"/>
          <w:rtl w:val="0"/>
        </w:rPr>
        <w:t xml:space="preserve">Enterprise:</w:t>
      </w:r>
      <w:r w:rsidDel="00000000" w:rsidR="00000000" w:rsidRPr="00000000">
        <w:rPr>
          <w:rtl w:val="0"/>
        </w:rPr>
        <w:t xml:space="preserve"> Single fee covering broad usage, beneficial for large expansions or multi-line-of-business coverage.</w:t>
      </w:r>
    </w:p>
    <w:p w:rsidR="00000000" w:rsidDel="00000000" w:rsidP="00000000" w:rsidRDefault="00000000" w:rsidRPr="00000000" w14:paraId="000000DE">
      <w:pPr>
        <w:pStyle w:val="Heading3"/>
        <w:rPr>
          <w:b w:val="1"/>
          <w:color w:val="000000"/>
          <w:sz w:val="26"/>
          <w:szCs w:val="26"/>
        </w:rPr>
      </w:pPr>
      <w:bookmarkStart w:colFirst="0" w:colLast="0" w:name="_3ia7foj63ku5" w:id="30"/>
      <w:bookmarkEnd w:id="30"/>
      <w:r w:rsidDel="00000000" w:rsidR="00000000" w:rsidRPr="00000000">
        <w:rPr>
          <w:b w:val="1"/>
          <w:color w:val="000000"/>
          <w:sz w:val="26"/>
          <w:szCs w:val="26"/>
          <w:rtl w:val="0"/>
        </w:rPr>
        <w:t xml:space="preserve">6.2 Maintenance, Support, and SLAs</w:t>
      </w:r>
    </w:p>
    <w:p w:rsidR="00000000" w:rsidDel="00000000" w:rsidP="00000000" w:rsidRDefault="00000000" w:rsidRPr="00000000" w14:paraId="000000DF">
      <w:pPr>
        <w:numPr>
          <w:ilvl w:val="0"/>
          <w:numId w:val="5"/>
        </w:numPr>
        <w:spacing w:before="200" w:lineRule="auto"/>
        <w:ind w:left="720" w:hanging="360"/>
        <w:rPr>
          <w:b w:val="1"/>
        </w:rPr>
      </w:pPr>
      <w:r w:rsidDel="00000000" w:rsidR="00000000" w:rsidRPr="00000000">
        <w:rPr>
          <w:b w:val="1"/>
          <w:rtl w:val="0"/>
        </w:rPr>
        <w:t xml:space="preserve">Support Tiers  </w:t>
      </w:r>
    </w:p>
    <w:p w:rsidR="00000000" w:rsidDel="00000000" w:rsidP="00000000" w:rsidRDefault="00000000" w:rsidRPr="00000000" w14:paraId="000000E0">
      <w:pPr>
        <w:numPr>
          <w:ilvl w:val="0"/>
          <w:numId w:val="38"/>
        </w:numPr>
        <w:spacing w:after="0" w:before="200" w:lineRule="auto"/>
        <w:ind w:left="1440" w:hanging="360"/>
        <w:rPr>
          <w:u w:val="none"/>
        </w:rPr>
      </w:pPr>
      <w:r w:rsidDel="00000000" w:rsidR="00000000" w:rsidRPr="00000000">
        <w:rPr>
          <w:rtl w:val="0"/>
        </w:rPr>
        <w:t xml:space="preserve">24/7 coverage or business-hour support, dedicated account managers, escalation for critical issues, ICS/IoT expertise if relevant.  </w:t>
      </w:r>
    </w:p>
    <w:p w:rsidR="00000000" w:rsidDel="00000000" w:rsidP="00000000" w:rsidRDefault="00000000" w:rsidRPr="00000000" w14:paraId="000000E1">
      <w:pPr>
        <w:numPr>
          <w:ilvl w:val="0"/>
          <w:numId w:val="38"/>
        </w:numPr>
        <w:ind w:left="1440" w:hanging="360"/>
        <w:rPr>
          <w:u w:val="none"/>
        </w:rPr>
      </w:pPr>
      <w:r w:rsidDel="00000000" w:rsidR="00000000" w:rsidRPr="00000000">
        <w:rPr>
          <w:rtl w:val="0"/>
        </w:rPr>
        <w:t xml:space="preserve">Defined response and resolution times for system outages or urgent compliance concerns.</w:t>
      </w:r>
    </w:p>
    <w:p w:rsidR="00000000" w:rsidDel="00000000" w:rsidP="00000000" w:rsidRDefault="00000000" w:rsidRPr="00000000" w14:paraId="000000E2">
      <w:pPr>
        <w:numPr>
          <w:ilvl w:val="0"/>
          <w:numId w:val="5"/>
        </w:numPr>
        <w:spacing w:after="0" w:before="200" w:lineRule="auto"/>
        <w:ind w:left="720" w:hanging="360"/>
        <w:rPr>
          <w:b w:val="1"/>
        </w:rPr>
      </w:pPr>
      <w:r w:rsidDel="00000000" w:rsidR="00000000" w:rsidRPr="00000000">
        <w:rPr>
          <w:b w:val="1"/>
          <w:rtl w:val="0"/>
        </w:rPr>
        <w:t xml:space="preserve">Software Updates  </w:t>
      </w:r>
    </w:p>
    <w:p w:rsidR="00000000" w:rsidDel="00000000" w:rsidP="00000000" w:rsidRDefault="00000000" w:rsidRPr="00000000" w14:paraId="000000E3">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Frequency of major feature releases, patch cycles, or classification signature updates.  </w:t>
      </w:r>
    </w:p>
    <w:p w:rsidR="00000000" w:rsidDel="00000000" w:rsidP="00000000" w:rsidRDefault="00000000" w:rsidRPr="00000000" w14:paraId="000000E4">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Urgent fixes for zero-day vulnerabilities or newly discovered compliance issues.</w:t>
      </w:r>
    </w:p>
    <w:p w:rsidR="00000000" w:rsidDel="00000000" w:rsidP="00000000" w:rsidRDefault="00000000" w:rsidRPr="00000000" w14:paraId="000000E5">
      <w:pPr>
        <w:numPr>
          <w:ilvl w:val="0"/>
          <w:numId w:val="5"/>
        </w:numPr>
        <w:spacing w:after="0" w:before="200" w:lineRule="auto"/>
        <w:ind w:left="720" w:hanging="360"/>
        <w:rPr>
          <w:b w:val="1"/>
        </w:rPr>
      </w:pPr>
      <w:r w:rsidDel="00000000" w:rsidR="00000000" w:rsidRPr="00000000">
        <w:rPr>
          <w:b w:val="1"/>
          <w:rtl w:val="0"/>
        </w:rPr>
        <w:t xml:space="preserve">Service-Level Agreements  </w:t>
      </w:r>
    </w:p>
    <w:p w:rsidR="00000000" w:rsidDel="00000000" w:rsidP="00000000" w:rsidRDefault="00000000" w:rsidRPr="00000000" w14:paraId="000000E6">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Guaranteed uptime, performance thresholds, scanning throughput, or maximum alert latency.  </w:t>
      </w:r>
    </w:p>
    <w:p w:rsidR="00000000" w:rsidDel="00000000" w:rsidP="00000000" w:rsidRDefault="00000000" w:rsidRPr="00000000" w14:paraId="000000E7">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Remedies or penalties if the vendor does not meet SLA commitments.</w:t>
      </w:r>
    </w:p>
    <w:p w:rsidR="00000000" w:rsidDel="00000000" w:rsidP="00000000" w:rsidRDefault="00000000" w:rsidRPr="00000000" w14:paraId="000000E8">
      <w:pPr>
        <w:pStyle w:val="Heading3"/>
        <w:rPr>
          <w:b w:val="1"/>
          <w:color w:val="000000"/>
          <w:sz w:val="26"/>
          <w:szCs w:val="26"/>
        </w:rPr>
      </w:pPr>
      <w:bookmarkStart w:colFirst="0" w:colLast="0" w:name="_7ckm6b559ycn" w:id="31"/>
      <w:bookmarkEnd w:id="31"/>
      <w:r w:rsidDel="00000000" w:rsidR="00000000" w:rsidRPr="00000000">
        <w:rPr>
          <w:b w:val="1"/>
          <w:color w:val="000000"/>
          <w:sz w:val="26"/>
          <w:szCs w:val="26"/>
          <w:rtl w:val="0"/>
        </w:rPr>
        <w:t xml:space="preserve">6.3 Additional Services and Scalability</w:t>
      </w:r>
    </w:p>
    <w:p w:rsidR="00000000" w:rsidDel="00000000" w:rsidP="00000000" w:rsidRDefault="00000000" w:rsidRPr="00000000" w14:paraId="000000E9">
      <w:pPr>
        <w:numPr>
          <w:ilvl w:val="0"/>
          <w:numId w:val="13"/>
        </w:numPr>
        <w:spacing w:before="200" w:lineRule="auto"/>
        <w:ind w:left="720" w:hanging="360"/>
        <w:rPr>
          <w:u w:val="none"/>
        </w:rPr>
      </w:pPr>
      <w:r w:rsidDel="00000000" w:rsidR="00000000" w:rsidRPr="00000000">
        <w:rPr>
          <w:b w:val="1"/>
          <w:rtl w:val="0"/>
        </w:rPr>
        <w:t xml:space="preserve">Professional Services:</w:t>
      </w:r>
      <w:r w:rsidDel="00000000" w:rsidR="00000000" w:rsidRPr="00000000">
        <w:rPr>
          <w:rtl w:val="0"/>
        </w:rPr>
        <w:t xml:space="preserve"> Architecture design, advanced integrations, or specialized privacy compliance consultations.  </w:t>
      </w:r>
    </w:p>
    <w:p w:rsidR="00000000" w:rsidDel="00000000" w:rsidP="00000000" w:rsidRDefault="00000000" w:rsidRPr="00000000" w14:paraId="000000EA">
      <w:pPr>
        <w:numPr>
          <w:ilvl w:val="0"/>
          <w:numId w:val="13"/>
        </w:numPr>
        <w:ind w:left="720" w:hanging="360"/>
        <w:rPr>
          <w:u w:val="none"/>
        </w:rPr>
      </w:pPr>
      <w:r w:rsidDel="00000000" w:rsidR="00000000" w:rsidRPr="00000000">
        <w:rPr>
          <w:b w:val="1"/>
          <w:rtl w:val="0"/>
        </w:rPr>
        <w:t xml:space="preserve">Managed Services: </w:t>
      </w:r>
      <w:r w:rsidDel="00000000" w:rsidR="00000000" w:rsidRPr="00000000">
        <w:rPr>
          <w:rtl w:val="0"/>
        </w:rPr>
        <w:t xml:space="preserve">Ongoing daily scanning, consumer request triage, or incident response if internal resources are limited.  </w:t>
      </w:r>
    </w:p>
    <w:p w:rsidR="00000000" w:rsidDel="00000000" w:rsidP="00000000" w:rsidRDefault="00000000" w:rsidRPr="00000000" w14:paraId="000000EB">
      <w:pPr>
        <w:numPr>
          <w:ilvl w:val="0"/>
          <w:numId w:val="13"/>
        </w:numPr>
        <w:ind w:left="720" w:hanging="360"/>
        <w:rPr>
          <w:u w:val="none"/>
        </w:rPr>
      </w:pPr>
      <w:r w:rsidDel="00000000" w:rsidR="00000000" w:rsidRPr="00000000">
        <w:rPr>
          <w:b w:val="1"/>
          <w:rtl w:val="0"/>
        </w:rPr>
        <w:t xml:space="preserve">Future Growth:</w:t>
      </w:r>
      <w:r w:rsidDel="00000000" w:rsidR="00000000" w:rsidRPr="00000000">
        <w:rPr>
          <w:rtl w:val="0"/>
        </w:rPr>
        <w:t xml:space="preserve"> Clear path to onboard new data stores, business units, or acquisitions with minimal licensing overhead or solution rework.</w:t>
      </w:r>
    </w:p>
    <w:p w:rsidR="00000000" w:rsidDel="00000000" w:rsidP="00000000" w:rsidRDefault="00000000" w:rsidRPr="00000000" w14:paraId="000000EC">
      <w:pPr>
        <w:pStyle w:val="Heading3"/>
        <w:rPr>
          <w:b w:val="1"/>
          <w:color w:val="000000"/>
          <w:sz w:val="26"/>
          <w:szCs w:val="26"/>
        </w:rPr>
      </w:pPr>
      <w:bookmarkStart w:colFirst="0" w:colLast="0" w:name="_xpaadj5c418t" w:id="32"/>
      <w:bookmarkEnd w:id="32"/>
      <w:r w:rsidDel="00000000" w:rsidR="00000000" w:rsidRPr="00000000">
        <w:rPr>
          <w:b w:val="1"/>
          <w:color w:val="000000"/>
          <w:sz w:val="26"/>
          <w:szCs w:val="26"/>
          <w:rtl w:val="0"/>
        </w:rPr>
        <w:t xml:space="preserve">6.4 Payment Terms and Contract Flexibility</w:t>
      </w:r>
    </w:p>
    <w:p w:rsidR="00000000" w:rsidDel="00000000" w:rsidP="00000000" w:rsidRDefault="00000000" w:rsidRPr="00000000" w14:paraId="000000ED">
      <w:pPr>
        <w:numPr>
          <w:ilvl w:val="0"/>
          <w:numId w:val="8"/>
        </w:numPr>
        <w:spacing w:before="200" w:lineRule="auto"/>
        <w:ind w:left="720" w:hanging="360"/>
        <w:rPr>
          <w:u w:val="none"/>
        </w:rPr>
      </w:pPr>
      <w:r w:rsidDel="00000000" w:rsidR="00000000" w:rsidRPr="00000000">
        <w:rPr>
          <w:b w:val="1"/>
          <w:rtl w:val="0"/>
        </w:rPr>
        <w:t xml:space="preserve">Billing Cycles:</w:t>
      </w:r>
      <w:r w:rsidDel="00000000" w:rsidR="00000000" w:rsidRPr="00000000">
        <w:rPr>
          <w:rtl w:val="0"/>
        </w:rPr>
        <w:t xml:space="preserve"> Monthly, quarterly, annual options.  </w:t>
      </w:r>
    </w:p>
    <w:p w:rsidR="00000000" w:rsidDel="00000000" w:rsidP="00000000" w:rsidRDefault="00000000" w:rsidRPr="00000000" w14:paraId="000000EE">
      <w:pPr>
        <w:numPr>
          <w:ilvl w:val="0"/>
          <w:numId w:val="8"/>
        </w:numPr>
        <w:ind w:left="720" w:hanging="360"/>
        <w:rPr>
          <w:u w:val="none"/>
        </w:rPr>
      </w:pPr>
      <w:r w:rsidDel="00000000" w:rsidR="00000000" w:rsidRPr="00000000">
        <w:rPr>
          <w:b w:val="1"/>
          <w:rtl w:val="0"/>
        </w:rPr>
        <w:t xml:space="preserve">Contract Duration: </w:t>
      </w:r>
      <w:r w:rsidDel="00000000" w:rsidR="00000000" w:rsidRPr="00000000">
        <w:rPr>
          <w:rtl w:val="0"/>
        </w:rPr>
        <w:t xml:space="preserve">Typically 1–3 years, with renewal or extension.  </w:t>
      </w:r>
    </w:p>
    <w:p w:rsidR="00000000" w:rsidDel="00000000" w:rsidP="00000000" w:rsidRDefault="00000000" w:rsidRPr="00000000" w14:paraId="000000EF">
      <w:pPr>
        <w:numPr>
          <w:ilvl w:val="0"/>
          <w:numId w:val="8"/>
        </w:numPr>
        <w:ind w:left="720" w:hanging="360"/>
        <w:rPr>
          <w:u w:val="none"/>
        </w:rPr>
      </w:pPr>
      <w:r w:rsidDel="00000000" w:rsidR="00000000" w:rsidRPr="00000000">
        <w:rPr>
          <w:b w:val="1"/>
          <w:rtl w:val="0"/>
        </w:rPr>
        <w:t xml:space="preserve">Early Termination:</w:t>
      </w:r>
      <w:r w:rsidDel="00000000" w:rsidR="00000000" w:rsidRPr="00000000">
        <w:rPr>
          <w:rtl w:val="0"/>
        </w:rPr>
        <w:t xml:space="preserve"> Clauses if the vendor repeatedly fails SLA performance or cannot adapt to critical compliance needs.</w:t>
      </w:r>
    </w:p>
    <w:p w:rsidR="00000000" w:rsidDel="00000000" w:rsidP="00000000" w:rsidRDefault="00000000" w:rsidRPr="00000000" w14:paraId="000000F0">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1">
      <w:pPr>
        <w:pStyle w:val="Heading2"/>
        <w:rPr/>
      </w:pPr>
      <w:bookmarkStart w:colFirst="0" w:colLast="0" w:name="_ck1gqvftwsf3" w:id="33"/>
      <w:bookmarkEnd w:id="33"/>
      <w:r w:rsidDel="00000000" w:rsidR="00000000" w:rsidRPr="00000000">
        <w:rPr>
          <w:b w:val="1"/>
          <w:sz w:val="34"/>
          <w:szCs w:val="34"/>
          <w:rtl w:val="0"/>
        </w:rPr>
        <w:t xml:space="preserve">7. Evaluation Criteria and Process</w:t>
      </w:r>
      <w:r w:rsidDel="00000000" w:rsidR="00000000" w:rsidRPr="00000000">
        <w:rPr>
          <w:rtl w:val="0"/>
        </w:rPr>
      </w:r>
    </w:p>
    <w:p w:rsidR="00000000" w:rsidDel="00000000" w:rsidP="00000000" w:rsidRDefault="00000000" w:rsidRPr="00000000" w14:paraId="000000F2">
      <w:pPr>
        <w:pStyle w:val="Heading3"/>
        <w:rPr>
          <w:b w:val="1"/>
          <w:color w:val="000000"/>
          <w:sz w:val="26"/>
          <w:szCs w:val="26"/>
        </w:rPr>
      </w:pPr>
      <w:bookmarkStart w:colFirst="0" w:colLast="0" w:name="_iqbtfbq8vhk2" w:id="34"/>
      <w:bookmarkEnd w:id="34"/>
      <w:r w:rsidDel="00000000" w:rsidR="00000000" w:rsidRPr="00000000">
        <w:rPr>
          <w:b w:val="1"/>
          <w:color w:val="000000"/>
          <w:sz w:val="26"/>
          <w:szCs w:val="26"/>
          <w:rtl w:val="0"/>
        </w:rPr>
        <w:t xml:space="preserve">7.1 Alignment with MODPA Requirements</w:t>
      </w:r>
    </w:p>
    <w:p w:rsidR="00000000" w:rsidDel="00000000" w:rsidP="00000000" w:rsidRDefault="00000000" w:rsidRPr="00000000" w14:paraId="000000F3">
      <w:pPr>
        <w:numPr>
          <w:ilvl w:val="0"/>
          <w:numId w:val="3"/>
        </w:numPr>
        <w:spacing w:before="200" w:lineRule="auto"/>
        <w:ind w:left="720" w:hanging="360"/>
        <w:rPr>
          <w:u w:val="none"/>
        </w:rPr>
      </w:pPr>
      <w:r w:rsidDel="00000000" w:rsidR="00000000" w:rsidRPr="00000000">
        <w:rPr>
          <w:b w:val="1"/>
          <w:rtl w:val="0"/>
        </w:rPr>
        <w:t xml:space="preserve">Coverage: </w:t>
      </w:r>
      <w:r w:rsidDel="00000000" w:rsidR="00000000" w:rsidRPr="00000000">
        <w:rPr>
          <w:rtl w:val="0"/>
        </w:rPr>
        <w:t xml:space="preserve">How thoroughly the solution addresses consumer data rights, data minimization, security, and breach notifications.  </w:t>
      </w:r>
    </w:p>
    <w:p w:rsidR="00000000" w:rsidDel="00000000" w:rsidP="00000000" w:rsidRDefault="00000000" w:rsidRPr="00000000" w14:paraId="000000F4">
      <w:pPr>
        <w:numPr>
          <w:ilvl w:val="0"/>
          <w:numId w:val="3"/>
        </w:numPr>
        <w:ind w:left="720" w:hanging="360"/>
        <w:rPr>
          <w:u w:val="none"/>
        </w:rPr>
      </w:pPr>
      <w:r w:rsidDel="00000000" w:rsidR="00000000" w:rsidRPr="00000000">
        <w:rPr>
          <w:b w:val="1"/>
          <w:rtl w:val="0"/>
        </w:rPr>
        <w:t xml:space="preserve">Depth: </w:t>
      </w:r>
      <w:r w:rsidDel="00000000" w:rsidR="00000000" w:rsidRPr="00000000">
        <w:rPr>
          <w:rtl w:val="0"/>
        </w:rPr>
        <w:t xml:space="preserve">Suitability for advanced data classification, real-time risk scoring, or robust DSR automations.</w:t>
      </w:r>
    </w:p>
    <w:p w:rsidR="00000000" w:rsidDel="00000000" w:rsidP="00000000" w:rsidRDefault="00000000" w:rsidRPr="00000000" w14:paraId="000000F5">
      <w:pPr>
        <w:pStyle w:val="Heading3"/>
        <w:rPr>
          <w:b w:val="1"/>
          <w:color w:val="000000"/>
          <w:sz w:val="26"/>
          <w:szCs w:val="26"/>
        </w:rPr>
      </w:pPr>
      <w:bookmarkStart w:colFirst="0" w:colLast="0" w:name="_8rlv4xy3iwuj" w:id="35"/>
      <w:bookmarkEnd w:id="35"/>
      <w:r w:rsidDel="00000000" w:rsidR="00000000" w:rsidRPr="00000000">
        <w:rPr>
          <w:b w:val="1"/>
          <w:color w:val="000000"/>
          <w:sz w:val="26"/>
          <w:szCs w:val="26"/>
          <w:rtl w:val="0"/>
        </w:rPr>
        <w:t xml:space="preserve">7.2 Technical Fit and Total Cost of Ownership</w:t>
      </w:r>
    </w:p>
    <w:p w:rsidR="00000000" w:rsidDel="00000000" w:rsidP="00000000" w:rsidRDefault="00000000" w:rsidRPr="00000000" w14:paraId="000000F6">
      <w:pPr>
        <w:numPr>
          <w:ilvl w:val="0"/>
          <w:numId w:val="19"/>
        </w:numPr>
        <w:spacing w:before="200" w:lineRule="auto"/>
        <w:ind w:left="720" w:hanging="360"/>
        <w:rPr>
          <w:u w:val="none"/>
        </w:rPr>
      </w:pPr>
      <w:r w:rsidDel="00000000" w:rsidR="00000000" w:rsidRPr="00000000">
        <w:rPr>
          <w:b w:val="1"/>
          <w:rtl w:val="0"/>
        </w:rPr>
        <w:t xml:space="preserve">I</w:t>
      </w:r>
      <w:r w:rsidDel="00000000" w:rsidR="00000000" w:rsidRPr="00000000">
        <w:rPr>
          <w:b w:val="1"/>
          <w:rtl w:val="0"/>
        </w:rPr>
        <w:t xml:space="preserve">ntegration: </w:t>
      </w:r>
      <w:r w:rsidDel="00000000" w:rsidR="00000000" w:rsidRPr="00000000">
        <w:rPr>
          <w:rtl w:val="0"/>
        </w:rPr>
        <w:t xml:space="preserve">Ability to merge seamlessly with existing privacy, security, and IT workflows.  </w:t>
      </w:r>
    </w:p>
    <w:p w:rsidR="00000000" w:rsidDel="00000000" w:rsidP="00000000" w:rsidRDefault="00000000" w:rsidRPr="00000000" w14:paraId="000000F7">
      <w:pPr>
        <w:numPr>
          <w:ilvl w:val="0"/>
          <w:numId w:val="19"/>
        </w:numPr>
        <w:ind w:left="720" w:hanging="360"/>
        <w:rPr>
          <w:u w:val="none"/>
        </w:rPr>
      </w:pPr>
      <w:r w:rsidDel="00000000" w:rsidR="00000000" w:rsidRPr="00000000">
        <w:rPr>
          <w:b w:val="1"/>
          <w:rtl w:val="0"/>
        </w:rPr>
        <w:t xml:space="preserve">Performance:</w:t>
      </w:r>
      <w:r w:rsidDel="00000000" w:rsidR="00000000" w:rsidRPr="00000000">
        <w:rPr>
          <w:rtl w:val="0"/>
        </w:rPr>
        <w:t xml:space="preserve"> Minimal overhead or disruptions in large, distributed data environments.  </w:t>
      </w:r>
    </w:p>
    <w:p w:rsidR="00000000" w:rsidDel="00000000" w:rsidP="00000000" w:rsidRDefault="00000000" w:rsidRPr="00000000" w14:paraId="000000F8">
      <w:pPr>
        <w:numPr>
          <w:ilvl w:val="0"/>
          <w:numId w:val="19"/>
        </w:numPr>
        <w:ind w:left="720" w:hanging="360"/>
        <w:rPr>
          <w:u w:val="none"/>
        </w:rPr>
      </w:pPr>
      <w:r w:rsidDel="00000000" w:rsidR="00000000" w:rsidRPr="00000000">
        <w:rPr>
          <w:b w:val="1"/>
          <w:rtl w:val="0"/>
        </w:rPr>
        <w:t xml:space="preserve">Value:</w:t>
      </w:r>
      <w:r w:rsidDel="00000000" w:rsidR="00000000" w:rsidRPr="00000000">
        <w:rPr>
          <w:rtl w:val="0"/>
        </w:rPr>
        <w:t xml:space="preserve"> Cost weighed against compliance efficiency gains and reduced data breach risks.</w:t>
      </w:r>
    </w:p>
    <w:p w:rsidR="00000000" w:rsidDel="00000000" w:rsidP="00000000" w:rsidRDefault="00000000" w:rsidRPr="00000000" w14:paraId="000000F9">
      <w:pPr>
        <w:pStyle w:val="Heading3"/>
        <w:rPr>
          <w:b w:val="1"/>
          <w:color w:val="000000"/>
          <w:sz w:val="26"/>
          <w:szCs w:val="26"/>
        </w:rPr>
      </w:pPr>
      <w:bookmarkStart w:colFirst="0" w:colLast="0" w:name="_t8slx8t173gs" w:id="36"/>
      <w:bookmarkEnd w:id="36"/>
      <w:r w:rsidDel="00000000" w:rsidR="00000000" w:rsidRPr="00000000">
        <w:rPr>
          <w:b w:val="1"/>
          <w:color w:val="000000"/>
          <w:sz w:val="26"/>
          <w:szCs w:val="26"/>
          <w:rtl w:val="0"/>
        </w:rPr>
        <w:t xml:space="preserve">7.3 Vendor Reliability and Support Model</w:t>
      </w:r>
    </w:p>
    <w:p w:rsidR="00000000" w:rsidDel="00000000" w:rsidP="00000000" w:rsidRDefault="00000000" w:rsidRPr="00000000" w14:paraId="000000FA">
      <w:pPr>
        <w:numPr>
          <w:ilvl w:val="0"/>
          <w:numId w:val="34"/>
        </w:numPr>
        <w:spacing w:before="200" w:lineRule="auto"/>
        <w:ind w:left="720" w:hanging="360"/>
        <w:rPr>
          <w:u w:val="none"/>
        </w:rPr>
      </w:pPr>
      <w:r w:rsidDel="00000000" w:rsidR="00000000" w:rsidRPr="00000000">
        <w:rPr>
          <w:b w:val="1"/>
          <w:rtl w:val="0"/>
        </w:rPr>
        <w:t xml:space="preserve">References: </w:t>
      </w:r>
      <w:r w:rsidDel="00000000" w:rsidR="00000000" w:rsidRPr="00000000">
        <w:rPr>
          <w:rtl w:val="0"/>
        </w:rPr>
        <w:t xml:space="preserve">Feedback from existing customers with high data volumes or complex compliance environments.  </w:t>
      </w:r>
    </w:p>
    <w:p w:rsidR="00000000" w:rsidDel="00000000" w:rsidP="00000000" w:rsidRDefault="00000000" w:rsidRPr="00000000" w14:paraId="000000FB">
      <w:pPr>
        <w:numPr>
          <w:ilvl w:val="0"/>
          <w:numId w:val="34"/>
        </w:numPr>
        <w:ind w:left="720" w:hanging="360"/>
        <w:rPr>
          <w:u w:val="none"/>
        </w:rPr>
      </w:pPr>
      <w:r w:rsidDel="00000000" w:rsidR="00000000" w:rsidRPr="00000000">
        <w:rPr>
          <w:b w:val="1"/>
          <w:rtl w:val="0"/>
        </w:rPr>
        <w:t xml:space="preserve">Support Infrastructure:</w:t>
      </w:r>
      <w:r w:rsidDel="00000000" w:rsidR="00000000" w:rsidRPr="00000000">
        <w:rPr>
          <w:rtl w:val="0"/>
        </w:rPr>
        <w:t xml:space="preserve"> Local or global presence, capacity for immediate critical incident assistance, thorough knowledge base.</w:t>
      </w:r>
    </w:p>
    <w:p w:rsidR="00000000" w:rsidDel="00000000" w:rsidP="00000000" w:rsidRDefault="00000000" w:rsidRPr="00000000" w14:paraId="000000FC">
      <w:pPr>
        <w:pStyle w:val="Heading3"/>
        <w:rPr>
          <w:b w:val="1"/>
          <w:color w:val="000000"/>
          <w:sz w:val="26"/>
          <w:szCs w:val="26"/>
        </w:rPr>
      </w:pPr>
      <w:bookmarkStart w:colFirst="0" w:colLast="0" w:name="_bno4vnjuq7qv" w:id="37"/>
      <w:bookmarkEnd w:id="37"/>
      <w:r w:rsidDel="00000000" w:rsidR="00000000" w:rsidRPr="00000000">
        <w:rPr>
          <w:b w:val="1"/>
          <w:color w:val="000000"/>
          <w:sz w:val="26"/>
          <w:szCs w:val="26"/>
          <w:rtl w:val="0"/>
        </w:rPr>
        <w:t xml:space="preserve">7.4 Long-Term Partnership Potential</w:t>
      </w:r>
    </w:p>
    <w:p w:rsidR="00000000" w:rsidDel="00000000" w:rsidP="00000000" w:rsidRDefault="00000000" w:rsidRPr="00000000" w14:paraId="000000FD">
      <w:pPr>
        <w:numPr>
          <w:ilvl w:val="0"/>
          <w:numId w:val="12"/>
        </w:numPr>
        <w:spacing w:before="200" w:lineRule="auto"/>
        <w:ind w:left="720" w:hanging="360"/>
        <w:rPr>
          <w:u w:val="none"/>
        </w:rPr>
      </w:pPr>
      <w:r w:rsidDel="00000000" w:rsidR="00000000" w:rsidRPr="00000000">
        <w:rPr>
          <w:b w:val="1"/>
          <w:rtl w:val="0"/>
        </w:rPr>
        <w:t xml:space="preserve">Innovation Roadmap:</w:t>
      </w:r>
      <w:r w:rsidDel="00000000" w:rsidR="00000000" w:rsidRPr="00000000">
        <w:rPr>
          <w:rtl w:val="0"/>
        </w:rPr>
        <w:t xml:space="preserve"> Commitment to adopting new detection methods, advanced analytics, or emergent privacy law changes.  </w:t>
      </w:r>
    </w:p>
    <w:p w:rsidR="00000000" w:rsidDel="00000000" w:rsidP="00000000" w:rsidRDefault="00000000" w:rsidRPr="00000000" w14:paraId="000000FE">
      <w:pPr>
        <w:numPr>
          <w:ilvl w:val="0"/>
          <w:numId w:val="12"/>
        </w:numPr>
        <w:ind w:left="720" w:hanging="360"/>
        <w:rPr>
          <w:u w:val="none"/>
        </w:rPr>
      </w:pPr>
      <w:r w:rsidDel="00000000" w:rsidR="00000000" w:rsidRPr="00000000">
        <w:rPr>
          <w:b w:val="1"/>
          <w:rtl w:val="0"/>
        </w:rPr>
        <w:t xml:space="preserve">Scalability: </w:t>
      </w:r>
      <w:r w:rsidDel="00000000" w:rsidR="00000000" w:rsidRPr="00000000">
        <w:rPr>
          <w:rtl w:val="0"/>
        </w:rPr>
        <w:t xml:space="preserve">Plans to easily scale for organizational growth, new acquisitions, or expansions in digital channels.</w:t>
      </w:r>
    </w:p>
    <w:p w:rsidR="00000000" w:rsidDel="00000000" w:rsidP="00000000" w:rsidRDefault="00000000" w:rsidRPr="00000000" w14:paraId="000000FF">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0">
      <w:pPr>
        <w:pStyle w:val="Heading2"/>
        <w:rPr/>
      </w:pPr>
      <w:bookmarkStart w:colFirst="0" w:colLast="0" w:name="_ahsn0nkocb62" w:id="38"/>
      <w:bookmarkEnd w:id="38"/>
      <w:r w:rsidDel="00000000" w:rsidR="00000000" w:rsidRPr="00000000">
        <w:rPr>
          <w:b w:val="1"/>
          <w:sz w:val="34"/>
          <w:szCs w:val="34"/>
          <w:rtl w:val="0"/>
        </w:rPr>
        <w:t xml:space="preserve">8. Proposal Submission Guidelines</w:t>
      </w:r>
      <w:r w:rsidDel="00000000" w:rsidR="00000000" w:rsidRPr="00000000">
        <w:rPr>
          <w:rtl w:val="0"/>
        </w:rPr>
      </w:r>
    </w:p>
    <w:p w:rsidR="00000000" w:rsidDel="00000000" w:rsidP="00000000" w:rsidRDefault="00000000" w:rsidRPr="00000000" w14:paraId="00000101">
      <w:pPr>
        <w:pStyle w:val="Heading3"/>
        <w:rPr>
          <w:b w:val="1"/>
          <w:color w:val="000000"/>
          <w:sz w:val="26"/>
          <w:szCs w:val="26"/>
        </w:rPr>
      </w:pPr>
      <w:bookmarkStart w:colFirst="0" w:colLast="0" w:name="_41fciqw7dwp" w:id="39"/>
      <w:bookmarkEnd w:id="39"/>
      <w:r w:rsidDel="00000000" w:rsidR="00000000" w:rsidRPr="00000000">
        <w:rPr>
          <w:b w:val="1"/>
          <w:color w:val="000000"/>
          <w:sz w:val="26"/>
          <w:szCs w:val="26"/>
          <w:rtl w:val="0"/>
        </w:rPr>
        <w:t xml:space="preserve">8.1 RFP Timeline and Key Milestones</w:t>
      </w:r>
    </w:p>
    <w:tbl>
      <w:tblPr>
        <w:tblStyle w:val="Table1"/>
        <w:tblW w:w="55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75"/>
        <w:gridCol w:w="930"/>
        <w:tblGridChange w:id="0">
          <w:tblGrid>
            <w:gridCol w:w="4575"/>
            <w:gridCol w:w="93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2">
            <w:pPr>
              <w:jc w:val="center"/>
              <w:rPr/>
            </w:pPr>
            <w:r w:rsidDel="00000000" w:rsidR="00000000" w:rsidRPr="00000000">
              <w:rPr>
                <w:b w:val="1"/>
                <w:rtl w:val="0"/>
              </w:rPr>
              <w:t xml:space="preserve">Milestone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3">
            <w:pPr>
              <w:jc w:val="center"/>
              <w:rPr/>
            </w:pPr>
            <w:r w:rsidDel="00000000" w:rsidR="00000000" w:rsidRPr="00000000">
              <w:rPr>
                <w:b w:val="1"/>
                <w:rtl w:val="0"/>
              </w:rPr>
              <w:t xml:space="preserve">Date</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4">
            <w:pPr>
              <w:rPr/>
            </w:pPr>
            <w:r w:rsidDel="00000000" w:rsidR="00000000" w:rsidRPr="00000000">
              <w:rPr>
                <w:rtl w:val="0"/>
              </w:rPr>
              <w:t xml:space="preserve">RFP Release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5">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6">
            <w:pPr>
              <w:rPr/>
            </w:pPr>
            <w:r w:rsidDel="00000000" w:rsidR="00000000" w:rsidRPr="00000000">
              <w:rPr>
                <w:rtl w:val="0"/>
              </w:rPr>
              <w:t xml:space="preserve">Vendor Q&amp;A Deadline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7">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8">
            <w:pPr>
              <w:rPr/>
            </w:pPr>
            <w:r w:rsidDel="00000000" w:rsidR="00000000" w:rsidRPr="00000000">
              <w:rPr>
                <w:rtl w:val="0"/>
              </w:rPr>
              <w:t xml:space="preserve">Proposal Submission Deadline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9">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A">
            <w:pPr>
              <w:rPr/>
            </w:pPr>
            <w:r w:rsidDel="00000000" w:rsidR="00000000" w:rsidRPr="00000000">
              <w:rPr>
                <w:rtl w:val="0"/>
              </w:rPr>
              <w:t xml:space="preserve">Vendor Presentations / Demos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B">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C">
            <w:pPr>
              <w:rPr/>
            </w:pPr>
            <w:r w:rsidDel="00000000" w:rsidR="00000000" w:rsidRPr="00000000">
              <w:rPr>
                <w:rtl w:val="0"/>
              </w:rPr>
              <w:t xml:space="preserve">Evaluation and Shortlist Notification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D">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E">
            <w:pPr>
              <w:rPr/>
            </w:pPr>
            <w:r w:rsidDel="00000000" w:rsidR="00000000" w:rsidRPr="00000000">
              <w:rPr>
                <w:rtl w:val="0"/>
              </w:rPr>
              <w:t xml:space="preserve">Final Vendor Selection and Contract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F">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0">
            <w:pPr>
              <w:rPr/>
            </w:pPr>
            <w:r w:rsidDel="00000000" w:rsidR="00000000" w:rsidRPr="00000000">
              <w:rPr>
                <w:rtl w:val="0"/>
              </w:rPr>
              <w:t xml:space="preserve">Project Kick-Off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1">
            <w:pPr>
              <w:rPr/>
            </w:pPr>
            <w:r w:rsidDel="00000000" w:rsidR="00000000" w:rsidRPr="00000000">
              <w:rPr>
                <w:rtl w:val="0"/>
              </w:rPr>
              <w:t xml:space="preserve">[Date]</w:t>
            </w:r>
          </w:p>
        </w:tc>
      </w:tr>
    </w:tbl>
    <w:p w:rsidR="00000000" w:rsidDel="00000000" w:rsidP="00000000" w:rsidRDefault="00000000" w:rsidRPr="00000000" w14:paraId="00000112">
      <w:pPr>
        <w:pStyle w:val="Heading3"/>
        <w:rPr>
          <w:b w:val="1"/>
          <w:color w:val="000000"/>
          <w:sz w:val="26"/>
          <w:szCs w:val="26"/>
        </w:rPr>
      </w:pPr>
      <w:bookmarkStart w:colFirst="0" w:colLast="0" w:name="_dkevtqgse4df" w:id="40"/>
      <w:bookmarkEnd w:id="40"/>
      <w:r w:rsidDel="00000000" w:rsidR="00000000" w:rsidRPr="00000000">
        <w:rPr>
          <w:b w:val="1"/>
          <w:color w:val="000000"/>
          <w:sz w:val="26"/>
          <w:szCs w:val="26"/>
          <w:rtl w:val="0"/>
        </w:rPr>
        <w:t xml:space="preserve">8.2 Required Proposal Format and Structure</w:t>
      </w:r>
    </w:p>
    <w:p w:rsidR="00000000" w:rsidDel="00000000" w:rsidP="00000000" w:rsidRDefault="00000000" w:rsidRPr="00000000" w14:paraId="00000113">
      <w:pPr>
        <w:numPr>
          <w:ilvl w:val="0"/>
          <w:numId w:val="9"/>
        </w:numPr>
        <w:spacing w:before="200" w:lineRule="auto"/>
        <w:ind w:left="720" w:hanging="360"/>
        <w:rPr>
          <w:u w:val="none"/>
        </w:rPr>
      </w:pPr>
      <w:r w:rsidDel="00000000" w:rsidR="00000000" w:rsidRPr="00000000">
        <w:rPr>
          <w:rtl w:val="0"/>
        </w:rPr>
        <w:t xml:space="preserve">Executive Summary (2–3 pages)  </w:t>
      </w:r>
    </w:p>
    <w:p w:rsidR="00000000" w:rsidDel="00000000" w:rsidP="00000000" w:rsidRDefault="00000000" w:rsidRPr="00000000" w14:paraId="00000114">
      <w:pPr>
        <w:numPr>
          <w:ilvl w:val="0"/>
          <w:numId w:val="9"/>
        </w:numPr>
        <w:ind w:left="720" w:hanging="360"/>
        <w:rPr>
          <w:u w:val="none"/>
        </w:rPr>
      </w:pPr>
      <w:r w:rsidDel="00000000" w:rsidR="00000000" w:rsidRPr="00000000">
        <w:rPr>
          <w:rtl w:val="0"/>
        </w:rPr>
        <w:t xml:space="preserve">Company Background and MODPA Expertise  </w:t>
      </w:r>
    </w:p>
    <w:p w:rsidR="00000000" w:rsidDel="00000000" w:rsidP="00000000" w:rsidRDefault="00000000" w:rsidRPr="00000000" w14:paraId="00000115">
      <w:pPr>
        <w:numPr>
          <w:ilvl w:val="0"/>
          <w:numId w:val="9"/>
        </w:numPr>
        <w:ind w:left="720" w:hanging="360"/>
        <w:rPr>
          <w:u w:val="none"/>
        </w:rPr>
      </w:pPr>
      <w:r w:rsidDel="00000000" w:rsidR="00000000" w:rsidRPr="00000000">
        <w:rPr>
          <w:rtl w:val="0"/>
        </w:rPr>
        <w:t xml:space="preserve">Technical and Functional Proposal (addressing Section 3)  </w:t>
      </w:r>
    </w:p>
    <w:p w:rsidR="00000000" w:rsidDel="00000000" w:rsidP="00000000" w:rsidRDefault="00000000" w:rsidRPr="00000000" w14:paraId="00000116">
      <w:pPr>
        <w:numPr>
          <w:ilvl w:val="0"/>
          <w:numId w:val="9"/>
        </w:numPr>
        <w:ind w:left="720" w:hanging="360"/>
        <w:rPr>
          <w:u w:val="none"/>
        </w:rPr>
      </w:pPr>
      <w:r w:rsidDel="00000000" w:rsidR="00000000" w:rsidRPr="00000000">
        <w:rPr>
          <w:rtl w:val="0"/>
        </w:rPr>
        <w:t xml:space="preserve">Implementation Plan and Timeline  </w:t>
      </w:r>
    </w:p>
    <w:p w:rsidR="00000000" w:rsidDel="00000000" w:rsidP="00000000" w:rsidRDefault="00000000" w:rsidRPr="00000000" w14:paraId="00000117">
      <w:pPr>
        <w:numPr>
          <w:ilvl w:val="0"/>
          <w:numId w:val="9"/>
        </w:numPr>
        <w:ind w:left="720" w:hanging="360"/>
        <w:rPr>
          <w:u w:val="none"/>
        </w:rPr>
      </w:pPr>
      <w:r w:rsidDel="00000000" w:rsidR="00000000" w:rsidRPr="00000000">
        <w:rPr>
          <w:rtl w:val="0"/>
        </w:rPr>
        <w:t xml:space="preserve">Pricing, Licensing, and Support  </w:t>
      </w:r>
    </w:p>
    <w:p w:rsidR="00000000" w:rsidDel="00000000" w:rsidP="00000000" w:rsidRDefault="00000000" w:rsidRPr="00000000" w14:paraId="00000118">
      <w:pPr>
        <w:numPr>
          <w:ilvl w:val="0"/>
          <w:numId w:val="9"/>
        </w:numPr>
        <w:ind w:left="720" w:hanging="360"/>
        <w:rPr>
          <w:u w:val="none"/>
        </w:rPr>
      </w:pPr>
      <w:r w:rsidDel="00000000" w:rsidR="00000000" w:rsidRPr="00000000">
        <w:rPr>
          <w:rtl w:val="0"/>
        </w:rPr>
        <w:t xml:space="preserve">References, Case Studies, and Certifications  </w:t>
      </w:r>
    </w:p>
    <w:p w:rsidR="00000000" w:rsidDel="00000000" w:rsidP="00000000" w:rsidRDefault="00000000" w:rsidRPr="00000000" w14:paraId="00000119">
      <w:pPr>
        <w:numPr>
          <w:ilvl w:val="0"/>
          <w:numId w:val="9"/>
        </w:numPr>
        <w:ind w:left="720" w:hanging="360"/>
        <w:rPr>
          <w:u w:val="none"/>
        </w:rPr>
      </w:pPr>
      <w:r w:rsidDel="00000000" w:rsidR="00000000" w:rsidRPr="00000000">
        <w:rPr>
          <w:rtl w:val="0"/>
        </w:rPr>
        <w:t xml:space="preserve">Appendices (as needed)</w:t>
      </w:r>
    </w:p>
    <w:p w:rsidR="00000000" w:rsidDel="00000000" w:rsidP="00000000" w:rsidRDefault="00000000" w:rsidRPr="00000000" w14:paraId="0000011A">
      <w:pPr>
        <w:pStyle w:val="Heading3"/>
        <w:rPr>
          <w:b w:val="1"/>
          <w:color w:val="000000"/>
          <w:sz w:val="26"/>
          <w:szCs w:val="26"/>
        </w:rPr>
      </w:pPr>
      <w:bookmarkStart w:colFirst="0" w:colLast="0" w:name="_kvcciyuxce4u" w:id="41"/>
      <w:bookmarkEnd w:id="41"/>
      <w:r w:rsidDel="00000000" w:rsidR="00000000" w:rsidRPr="00000000">
        <w:rPr>
          <w:b w:val="1"/>
          <w:color w:val="000000"/>
          <w:sz w:val="26"/>
          <w:szCs w:val="26"/>
          <w:rtl w:val="0"/>
        </w:rPr>
        <w:t xml:space="preserve">8.3 Communication, Q&amp;A, and Clarifications</w:t>
      </w:r>
    </w:p>
    <w:p w:rsidR="00000000" w:rsidDel="00000000" w:rsidP="00000000" w:rsidRDefault="00000000" w:rsidRPr="00000000" w14:paraId="0000011B">
      <w:pPr>
        <w:numPr>
          <w:ilvl w:val="0"/>
          <w:numId w:val="20"/>
        </w:numPr>
        <w:spacing w:before="200" w:lineRule="auto"/>
        <w:ind w:left="720" w:hanging="360"/>
        <w:rPr>
          <w:u w:val="none"/>
        </w:rPr>
      </w:pPr>
      <w:r w:rsidDel="00000000" w:rsidR="00000000" w:rsidRPr="00000000">
        <w:rPr>
          <w:b w:val="1"/>
          <w:rtl w:val="0"/>
        </w:rPr>
        <w:t xml:space="preserve">Primary Contact:</w:t>
      </w:r>
      <w:r w:rsidDel="00000000" w:rsidR="00000000" w:rsidRPr="00000000">
        <w:rPr>
          <w:rtl w:val="0"/>
        </w:rPr>
        <w:t xml:space="preserve"> [Name, Title, Email, Phone]  </w:t>
      </w:r>
    </w:p>
    <w:p w:rsidR="00000000" w:rsidDel="00000000" w:rsidP="00000000" w:rsidRDefault="00000000" w:rsidRPr="00000000" w14:paraId="0000011C">
      <w:pPr>
        <w:numPr>
          <w:ilvl w:val="0"/>
          <w:numId w:val="20"/>
        </w:numPr>
        <w:ind w:left="720" w:hanging="360"/>
        <w:rPr>
          <w:u w:val="none"/>
        </w:rPr>
      </w:pPr>
      <w:r w:rsidDel="00000000" w:rsidR="00000000" w:rsidRPr="00000000">
        <w:rPr>
          <w:rtl w:val="0"/>
        </w:rPr>
        <w:t xml:space="preserve">All vendor inquiries must be submitted by the Q&amp;A date; consolidated answers will be shared with all participants to maintain fairness.</w:t>
      </w:r>
    </w:p>
    <w:p w:rsidR="00000000" w:rsidDel="00000000" w:rsidP="00000000" w:rsidRDefault="00000000" w:rsidRPr="00000000" w14:paraId="0000011D">
      <w:pPr>
        <w:pStyle w:val="Heading3"/>
        <w:rPr>
          <w:b w:val="1"/>
          <w:color w:val="000000"/>
          <w:sz w:val="26"/>
          <w:szCs w:val="26"/>
        </w:rPr>
      </w:pPr>
      <w:bookmarkStart w:colFirst="0" w:colLast="0" w:name="_r7q7agc7ainm" w:id="42"/>
      <w:bookmarkEnd w:id="42"/>
      <w:r w:rsidDel="00000000" w:rsidR="00000000" w:rsidRPr="00000000">
        <w:rPr>
          <w:b w:val="1"/>
          <w:color w:val="000000"/>
          <w:sz w:val="26"/>
          <w:szCs w:val="26"/>
          <w:rtl w:val="0"/>
        </w:rPr>
        <w:t xml:space="preserve">8.4 Selection, Negotiation, and Award</w:t>
      </w:r>
    </w:p>
    <w:p w:rsidR="00000000" w:rsidDel="00000000" w:rsidP="00000000" w:rsidRDefault="00000000" w:rsidRPr="00000000" w14:paraId="0000011E">
      <w:pPr>
        <w:numPr>
          <w:ilvl w:val="0"/>
          <w:numId w:val="29"/>
        </w:numPr>
        <w:spacing w:before="200" w:lineRule="auto"/>
        <w:ind w:left="720" w:hanging="360"/>
        <w:rPr>
          <w:u w:val="none"/>
        </w:rPr>
      </w:pPr>
      <w:r w:rsidDel="00000000" w:rsidR="00000000" w:rsidRPr="00000000">
        <w:rPr>
          <w:rtl w:val="0"/>
        </w:rPr>
        <w:t xml:space="preserve">A cross-disciplinary committee (privacy, legal, security, IT) will evaluate proposals based on compliance coverage, technical breadth, cost, references, and vendor track record.  </w:t>
      </w:r>
    </w:p>
    <w:p w:rsidR="00000000" w:rsidDel="00000000" w:rsidP="00000000" w:rsidRDefault="00000000" w:rsidRPr="00000000" w14:paraId="0000011F">
      <w:pPr>
        <w:numPr>
          <w:ilvl w:val="0"/>
          <w:numId w:val="29"/>
        </w:numPr>
        <w:ind w:left="720" w:hanging="360"/>
        <w:rPr>
          <w:u w:val="none"/>
        </w:rPr>
      </w:pPr>
      <w:r w:rsidDel="00000000" w:rsidR="00000000" w:rsidRPr="00000000">
        <w:rPr>
          <w:rtl w:val="0"/>
        </w:rPr>
        <w:t xml:space="preserve">Shortlisted vendors may be asked for product demos, PoC pilots, or architectural deep-dives.  </w:t>
      </w:r>
    </w:p>
    <w:p w:rsidR="00000000" w:rsidDel="00000000" w:rsidP="00000000" w:rsidRDefault="00000000" w:rsidRPr="00000000" w14:paraId="00000120">
      <w:pPr>
        <w:numPr>
          <w:ilvl w:val="0"/>
          <w:numId w:val="29"/>
        </w:numPr>
        <w:ind w:left="720" w:hanging="360"/>
        <w:rPr>
          <w:u w:val="none"/>
        </w:rPr>
      </w:pPr>
      <w:r w:rsidDel="00000000" w:rsidR="00000000" w:rsidRPr="00000000">
        <w:rPr>
          <w:rtl w:val="0"/>
        </w:rPr>
        <w:t xml:space="preserve">Award is contingent on final contract negotiations and stakeholder consensus, aligning with MODPA compliance objectives.</w:t>
      </w:r>
    </w:p>
    <w:p w:rsidR="00000000" w:rsidDel="00000000" w:rsidP="00000000" w:rsidRDefault="00000000" w:rsidRPr="00000000" w14:paraId="00000121">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2">
      <w:pPr>
        <w:pStyle w:val="Heading2"/>
        <w:rPr>
          <w:b w:val="1"/>
          <w:sz w:val="34"/>
          <w:szCs w:val="34"/>
        </w:rPr>
      </w:pPr>
      <w:bookmarkStart w:colFirst="0" w:colLast="0" w:name="_b6dc2yb48tdd" w:id="43"/>
      <w:bookmarkEnd w:id="43"/>
      <w:r w:rsidDel="00000000" w:rsidR="00000000" w:rsidRPr="00000000">
        <w:rPr>
          <w:b w:val="1"/>
          <w:sz w:val="34"/>
          <w:szCs w:val="34"/>
          <w:rtl w:val="0"/>
        </w:rPr>
        <w:t xml:space="preserve">9. Legal and Contractual Considerations</w:t>
      </w:r>
    </w:p>
    <w:p w:rsidR="00000000" w:rsidDel="00000000" w:rsidP="00000000" w:rsidRDefault="00000000" w:rsidRPr="00000000" w14:paraId="00000123">
      <w:pPr>
        <w:pStyle w:val="Heading3"/>
        <w:rPr>
          <w:b w:val="1"/>
          <w:color w:val="000000"/>
          <w:sz w:val="26"/>
          <w:szCs w:val="26"/>
        </w:rPr>
      </w:pPr>
      <w:bookmarkStart w:colFirst="0" w:colLast="0" w:name="_vnd1g3ufmmdx" w:id="44"/>
      <w:bookmarkEnd w:id="44"/>
      <w:r w:rsidDel="00000000" w:rsidR="00000000" w:rsidRPr="00000000">
        <w:rPr>
          <w:b w:val="1"/>
          <w:color w:val="000000"/>
          <w:sz w:val="26"/>
          <w:szCs w:val="26"/>
          <w:rtl w:val="0"/>
        </w:rPr>
        <w:t xml:space="preserve">9.1 Confidentiality, Data Protection, and Non-Disclosure</w:t>
      </w:r>
    </w:p>
    <w:p w:rsidR="00000000" w:rsidDel="00000000" w:rsidP="00000000" w:rsidRDefault="00000000" w:rsidRPr="00000000" w14:paraId="00000124">
      <w:pPr>
        <w:numPr>
          <w:ilvl w:val="0"/>
          <w:numId w:val="22"/>
        </w:numPr>
        <w:spacing w:before="200" w:lineRule="auto"/>
        <w:ind w:left="720" w:hanging="360"/>
        <w:rPr>
          <w:u w:val="none"/>
        </w:rPr>
      </w:pPr>
      <w:r w:rsidDel="00000000" w:rsidR="00000000" w:rsidRPr="00000000">
        <w:rPr>
          <w:rtl w:val="0"/>
        </w:rPr>
        <w:t xml:space="preserve">RFP materials are confidential; NDAs may be required.  </w:t>
      </w:r>
    </w:p>
    <w:p w:rsidR="00000000" w:rsidDel="00000000" w:rsidP="00000000" w:rsidRDefault="00000000" w:rsidRPr="00000000" w14:paraId="00000125">
      <w:pPr>
        <w:numPr>
          <w:ilvl w:val="0"/>
          <w:numId w:val="22"/>
        </w:numPr>
        <w:ind w:left="720" w:hanging="360"/>
        <w:rPr>
          <w:u w:val="none"/>
        </w:rPr>
      </w:pPr>
      <w:r w:rsidDel="00000000" w:rsidR="00000000" w:rsidRPr="00000000">
        <w:rPr>
          <w:rtl w:val="0"/>
        </w:rPr>
        <w:t xml:space="preserve">Vendor solutions must satisfy robust data protection policies and respect internal confidentiality standards.</w:t>
      </w:r>
    </w:p>
    <w:p w:rsidR="00000000" w:rsidDel="00000000" w:rsidP="00000000" w:rsidRDefault="00000000" w:rsidRPr="00000000" w14:paraId="00000126">
      <w:pPr>
        <w:pStyle w:val="Heading3"/>
        <w:rPr>
          <w:b w:val="1"/>
          <w:color w:val="000000"/>
          <w:sz w:val="26"/>
          <w:szCs w:val="26"/>
        </w:rPr>
      </w:pPr>
      <w:bookmarkStart w:colFirst="0" w:colLast="0" w:name="_i99q3cj2110u" w:id="45"/>
      <w:bookmarkEnd w:id="45"/>
      <w:r w:rsidDel="00000000" w:rsidR="00000000" w:rsidRPr="00000000">
        <w:rPr>
          <w:b w:val="1"/>
          <w:color w:val="000000"/>
          <w:sz w:val="26"/>
          <w:szCs w:val="26"/>
          <w:rtl w:val="0"/>
        </w:rPr>
        <w:t xml:space="preserve">9.2 Liability, Indemnification, and Insurance</w:t>
      </w:r>
    </w:p>
    <w:p w:rsidR="00000000" w:rsidDel="00000000" w:rsidP="00000000" w:rsidRDefault="00000000" w:rsidRPr="00000000" w14:paraId="00000127">
      <w:pPr>
        <w:numPr>
          <w:ilvl w:val="0"/>
          <w:numId w:val="25"/>
        </w:numPr>
        <w:spacing w:before="200" w:lineRule="auto"/>
        <w:ind w:left="720" w:hanging="360"/>
        <w:rPr>
          <w:u w:val="none"/>
        </w:rPr>
      </w:pPr>
      <w:r w:rsidDel="00000000" w:rsidR="00000000" w:rsidRPr="00000000">
        <w:rPr>
          <w:rtl w:val="0"/>
        </w:rPr>
        <w:t xml:space="preserve">Cyber liability insurance mandatory for the vendor.  </w:t>
      </w:r>
    </w:p>
    <w:p w:rsidR="00000000" w:rsidDel="00000000" w:rsidP="00000000" w:rsidRDefault="00000000" w:rsidRPr="00000000" w14:paraId="00000128">
      <w:pPr>
        <w:numPr>
          <w:ilvl w:val="0"/>
          <w:numId w:val="25"/>
        </w:numPr>
        <w:ind w:left="720" w:hanging="360"/>
        <w:rPr>
          <w:u w:val="none"/>
        </w:rPr>
      </w:pPr>
      <w:r w:rsidDel="00000000" w:rsidR="00000000" w:rsidRPr="00000000">
        <w:rPr>
          <w:rtl w:val="0"/>
        </w:rPr>
        <w:t xml:space="preserve">Indemnification terms protecting our organization from financial or reputational harm arising from vendor negligence or product flaws.</w:t>
      </w:r>
    </w:p>
    <w:p w:rsidR="00000000" w:rsidDel="00000000" w:rsidP="00000000" w:rsidRDefault="00000000" w:rsidRPr="00000000" w14:paraId="00000129">
      <w:pPr>
        <w:pStyle w:val="Heading3"/>
        <w:rPr>
          <w:b w:val="1"/>
          <w:color w:val="000000"/>
          <w:sz w:val="26"/>
          <w:szCs w:val="26"/>
        </w:rPr>
      </w:pPr>
      <w:bookmarkStart w:colFirst="0" w:colLast="0" w:name="_ldedtgp8y9sr" w:id="46"/>
      <w:bookmarkEnd w:id="46"/>
      <w:r w:rsidDel="00000000" w:rsidR="00000000" w:rsidRPr="00000000">
        <w:rPr>
          <w:b w:val="1"/>
          <w:color w:val="000000"/>
          <w:sz w:val="26"/>
          <w:szCs w:val="26"/>
          <w:rtl w:val="0"/>
        </w:rPr>
        <w:t xml:space="preserve">9.3 Contract Duration and Renewals</w:t>
      </w:r>
    </w:p>
    <w:p w:rsidR="00000000" w:rsidDel="00000000" w:rsidP="00000000" w:rsidRDefault="00000000" w:rsidRPr="00000000" w14:paraId="0000012A">
      <w:pPr>
        <w:numPr>
          <w:ilvl w:val="0"/>
          <w:numId w:val="6"/>
        </w:numPr>
        <w:spacing w:before="200" w:lineRule="auto"/>
        <w:ind w:left="720" w:hanging="360"/>
        <w:rPr>
          <w:u w:val="none"/>
        </w:rPr>
      </w:pPr>
      <w:r w:rsidDel="00000000" w:rsidR="00000000" w:rsidRPr="00000000">
        <w:rPr>
          <w:rtl w:val="0"/>
        </w:rPr>
        <w:t xml:space="preserve">Typically 1–3 year terms with optional extensions.  </w:t>
      </w:r>
    </w:p>
    <w:p w:rsidR="00000000" w:rsidDel="00000000" w:rsidP="00000000" w:rsidRDefault="00000000" w:rsidRPr="00000000" w14:paraId="0000012B">
      <w:pPr>
        <w:numPr>
          <w:ilvl w:val="0"/>
          <w:numId w:val="6"/>
        </w:numPr>
        <w:ind w:left="720" w:hanging="360"/>
        <w:rPr>
          <w:u w:val="none"/>
        </w:rPr>
      </w:pPr>
      <w:r w:rsidDel="00000000" w:rsidR="00000000" w:rsidRPr="00000000">
        <w:rPr>
          <w:rtl w:val="0"/>
        </w:rPr>
        <w:t xml:space="preserve">Early termination o</w:t>
      </w:r>
      <w:r w:rsidDel="00000000" w:rsidR="00000000" w:rsidRPr="00000000">
        <w:rPr>
          <w:rtl w:val="0"/>
        </w:rPr>
        <w:t xml:space="preserve">f repeated</w:t>
      </w:r>
      <w:r w:rsidDel="00000000" w:rsidR="00000000" w:rsidRPr="00000000">
        <w:rPr>
          <w:rtl w:val="0"/>
        </w:rPr>
        <w:t xml:space="preserve"> SLA failures or inability to comply with critical MODPA obligations.</w:t>
      </w:r>
    </w:p>
    <w:p w:rsidR="00000000" w:rsidDel="00000000" w:rsidP="00000000" w:rsidRDefault="00000000" w:rsidRPr="00000000" w14:paraId="0000012C">
      <w:pPr>
        <w:pStyle w:val="Heading3"/>
        <w:rPr>
          <w:b w:val="1"/>
          <w:color w:val="000000"/>
          <w:sz w:val="26"/>
          <w:szCs w:val="26"/>
        </w:rPr>
      </w:pPr>
      <w:bookmarkStart w:colFirst="0" w:colLast="0" w:name="_jvevk4dnp42t" w:id="47"/>
      <w:bookmarkEnd w:id="47"/>
      <w:r w:rsidDel="00000000" w:rsidR="00000000" w:rsidRPr="00000000">
        <w:rPr>
          <w:b w:val="1"/>
          <w:color w:val="000000"/>
          <w:sz w:val="26"/>
          <w:szCs w:val="26"/>
          <w:rtl w:val="0"/>
        </w:rPr>
        <w:t xml:space="preserve">9.4 Intellectual Property and Ownership</w:t>
      </w:r>
    </w:p>
    <w:p w:rsidR="00000000" w:rsidDel="00000000" w:rsidP="00000000" w:rsidRDefault="00000000" w:rsidRPr="00000000" w14:paraId="0000012D">
      <w:pPr>
        <w:numPr>
          <w:ilvl w:val="0"/>
          <w:numId w:val="26"/>
        </w:numPr>
        <w:spacing w:before="200" w:lineRule="auto"/>
        <w:ind w:left="720" w:hanging="360"/>
        <w:rPr>
          <w:u w:val="none"/>
        </w:rPr>
      </w:pPr>
      <w:r w:rsidDel="00000000" w:rsidR="00000000" w:rsidRPr="00000000">
        <w:rPr>
          <w:rtl w:val="0"/>
        </w:rPr>
        <w:t xml:space="preserve">Pre-existing Vendor IP remains with the vendor.  </w:t>
      </w:r>
    </w:p>
    <w:p w:rsidR="00000000" w:rsidDel="00000000" w:rsidP="00000000" w:rsidRDefault="00000000" w:rsidRPr="00000000" w14:paraId="0000012E">
      <w:pPr>
        <w:numPr>
          <w:ilvl w:val="0"/>
          <w:numId w:val="26"/>
        </w:numPr>
        <w:ind w:left="720" w:hanging="360"/>
        <w:rPr>
          <w:u w:val="none"/>
        </w:rPr>
      </w:pPr>
      <w:r w:rsidDel="00000000" w:rsidR="00000000" w:rsidRPr="00000000">
        <w:rPr>
          <w:rtl w:val="0"/>
        </w:rPr>
        <w:t xml:space="preserve">Custom developments or co-developed integrations relevant to MODPA workflows may require separate licensing or shared ownership negotiations.</w:t>
      </w:r>
    </w:p>
    <w:p w:rsidR="00000000" w:rsidDel="00000000" w:rsidP="00000000" w:rsidRDefault="00000000" w:rsidRPr="00000000" w14:paraId="0000012F">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0">
      <w:pPr>
        <w:pStyle w:val="Heading2"/>
        <w:rPr>
          <w:b w:val="1"/>
          <w:sz w:val="34"/>
          <w:szCs w:val="34"/>
        </w:rPr>
      </w:pPr>
      <w:bookmarkStart w:colFirst="0" w:colLast="0" w:name="_inesma66o5wg" w:id="48"/>
      <w:bookmarkEnd w:id="48"/>
      <w:r w:rsidDel="00000000" w:rsidR="00000000" w:rsidRPr="00000000">
        <w:rPr>
          <w:b w:val="1"/>
          <w:sz w:val="34"/>
          <w:szCs w:val="34"/>
          <w:rtl w:val="0"/>
        </w:rPr>
        <w:t xml:space="preserve">10. Appendices (Optional)</w:t>
      </w:r>
    </w:p>
    <w:p w:rsidR="00000000" w:rsidDel="00000000" w:rsidP="00000000" w:rsidRDefault="00000000" w:rsidRPr="00000000" w14:paraId="00000131">
      <w:pPr>
        <w:numPr>
          <w:ilvl w:val="0"/>
          <w:numId w:val="1"/>
        </w:numPr>
        <w:spacing w:before="200" w:lineRule="auto"/>
        <w:ind w:left="720" w:hanging="360"/>
        <w:rPr>
          <w:u w:val="none"/>
        </w:rPr>
      </w:pPr>
      <w:r w:rsidDel="00000000" w:rsidR="00000000" w:rsidRPr="00000000">
        <w:rPr>
          <w:b w:val="1"/>
          <w:rtl w:val="0"/>
        </w:rPr>
        <w:t xml:space="preserve">Detailed MODPA Requirements Mapping:</w:t>
      </w:r>
      <w:r w:rsidDel="00000000" w:rsidR="00000000" w:rsidRPr="00000000">
        <w:rPr>
          <w:rtl w:val="0"/>
        </w:rPr>
        <w:t xml:space="preserve"> Illustrate how each aspect of the Act is covered by proposed solution features.  </w:t>
      </w:r>
    </w:p>
    <w:p w:rsidR="00000000" w:rsidDel="00000000" w:rsidP="00000000" w:rsidRDefault="00000000" w:rsidRPr="00000000" w14:paraId="00000132">
      <w:pPr>
        <w:numPr>
          <w:ilvl w:val="0"/>
          <w:numId w:val="1"/>
        </w:numPr>
        <w:ind w:left="720" w:hanging="360"/>
        <w:rPr>
          <w:u w:val="none"/>
        </w:rPr>
      </w:pPr>
      <w:r w:rsidDel="00000000" w:rsidR="00000000" w:rsidRPr="00000000">
        <w:rPr>
          <w:b w:val="1"/>
          <w:rtl w:val="0"/>
        </w:rPr>
        <w:t xml:space="preserve">Network/Data Flow Diagrams: </w:t>
      </w:r>
      <w:r w:rsidDel="00000000" w:rsidR="00000000" w:rsidRPr="00000000">
        <w:rPr>
          <w:rtl w:val="0"/>
        </w:rPr>
        <w:t xml:space="preserve">For vendor scoping of key data sources, third-party integrations, or legacy systems.  </w:t>
      </w:r>
    </w:p>
    <w:p w:rsidR="00000000" w:rsidDel="00000000" w:rsidP="00000000" w:rsidRDefault="00000000" w:rsidRPr="00000000" w14:paraId="00000133">
      <w:pPr>
        <w:numPr>
          <w:ilvl w:val="0"/>
          <w:numId w:val="1"/>
        </w:numPr>
        <w:ind w:left="720" w:hanging="360"/>
        <w:rPr>
          <w:u w:val="none"/>
        </w:rPr>
      </w:pPr>
      <w:r w:rsidDel="00000000" w:rsidR="00000000" w:rsidRPr="00000000">
        <w:rPr>
          <w:b w:val="1"/>
          <w:rtl w:val="0"/>
        </w:rPr>
        <w:t xml:space="preserve">Sample Contract or MSA:</w:t>
      </w:r>
      <w:r w:rsidDel="00000000" w:rsidR="00000000" w:rsidRPr="00000000">
        <w:rPr>
          <w:rtl w:val="0"/>
        </w:rPr>
        <w:t xml:space="preserve"> If the organization employs standardized language for all vendor engagements.  </w:t>
      </w:r>
    </w:p>
    <w:p w:rsidR="00000000" w:rsidDel="00000000" w:rsidP="00000000" w:rsidRDefault="00000000" w:rsidRPr="00000000" w14:paraId="00000134">
      <w:pPr>
        <w:numPr>
          <w:ilvl w:val="0"/>
          <w:numId w:val="1"/>
        </w:numPr>
        <w:ind w:left="720" w:hanging="360"/>
        <w:rPr>
          <w:u w:val="none"/>
        </w:rPr>
      </w:pPr>
      <w:r w:rsidDel="00000000" w:rsidR="00000000" w:rsidRPr="00000000">
        <w:rPr>
          <w:b w:val="1"/>
          <w:rtl w:val="0"/>
        </w:rPr>
        <w:t xml:space="preserve">Policy References:</w:t>
      </w:r>
      <w:r w:rsidDel="00000000" w:rsidR="00000000" w:rsidRPr="00000000">
        <w:rPr>
          <w:rtl w:val="0"/>
        </w:rPr>
        <w:t xml:space="preserve"> High-level internal privacy or security policies relevant to MODPA compliance.</w:t>
      </w:r>
    </w:p>
    <w:p w:rsidR="00000000" w:rsidDel="00000000" w:rsidP="00000000" w:rsidRDefault="00000000" w:rsidRPr="00000000" w14:paraId="00000135">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6">
      <w:pPr>
        <w:pStyle w:val="Heading2"/>
        <w:rPr>
          <w:b w:val="1"/>
          <w:sz w:val="34"/>
          <w:szCs w:val="34"/>
        </w:rPr>
      </w:pPr>
      <w:bookmarkStart w:colFirst="0" w:colLast="0" w:name="_bjodulrojc7y" w:id="49"/>
      <w:bookmarkEnd w:id="49"/>
      <w:r w:rsidDel="00000000" w:rsidR="00000000" w:rsidRPr="00000000">
        <w:rPr>
          <w:b w:val="1"/>
          <w:sz w:val="34"/>
          <w:szCs w:val="34"/>
          <w:rtl w:val="0"/>
        </w:rPr>
        <w:t xml:space="preserve">Closing Statement</w:t>
      </w:r>
      <w:r w:rsidDel="00000000" w:rsidR="00000000" w:rsidRPr="00000000">
        <w:rPr>
          <w:rtl w:val="0"/>
        </w:rPr>
      </w:r>
    </w:p>
    <w:p w:rsidR="00000000" w:rsidDel="00000000" w:rsidP="00000000" w:rsidRDefault="00000000" w:rsidRPr="00000000" w14:paraId="00000137">
      <w:pPr>
        <w:spacing w:before="200" w:lineRule="auto"/>
        <w:rPr/>
      </w:pPr>
      <w:r w:rsidDel="00000000" w:rsidR="00000000" w:rsidRPr="00000000">
        <w:rPr>
          <w:rtl w:val="0"/>
        </w:rPr>
        <w:t xml:space="preserve">This long-form RFP template serves as a roadmap for acquiring a data privacy solution that aligns with Maryland Online Data Privacy Act (MODPA) obligations. By emphasizing agentless, real-time data discovery, consumer rights automation, risk-based monitoring, and incident response, we aim to safeguard personal data effectively and respond promptly to consumer demands or potential breaches.</w:t>
      </w:r>
    </w:p>
    <w:p w:rsidR="00000000" w:rsidDel="00000000" w:rsidP="00000000" w:rsidRDefault="00000000" w:rsidRPr="00000000" w14:paraId="00000138">
      <w:pPr>
        <w:spacing w:before="200" w:lineRule="auto"/>
        <w:rPr/>
      </w:pPr>
      <w:r w:rsidDel="00000000" w:rsidR="00000000" w:rsidRPr="00000000">
        <w:rPr>
          <w:rtl w:val="0"/>
        </w:rPr>
        <w:t xml:space="preserve">Prospective vendors should demonstrate comprehensive capabilities, including:</w:t>
      </w:r>
    </w:p>
    <w:p w:rsidR="00000000" w:rsidDel="00000000" w:rsidP="00000000" w:rsidRDefault="00000000" w:rsidRPr="00000000" w14:paraId="00000139">
      <w:pPr>
        <w:numPr>
          <w:ilvl w:val="0"/>
          <w:numId w:val="27"/>
        </w:numPr>
        <w:spacing w:before="200" w:lineRule="auto"/>
        <w:ind w:left="720" w:hanging="360"/>
        <w:rPr>
          <w:u w:val="none"/>
        </w:rPr>
      </w:pPr>
      <w:r w:rsidDel="00000000" w:rsidR="00000000" w:rsidRPr="00000000">
        <w:rPr>
          <w:rtl w:val="0"/>
        </w:rPr>
        <w:t xml:space="preserve">Deep data classification and continuous oversight,  </w:t>
      </w:r>
    </w:p>
    <w:p w:rsidR="00000000" w:rsidDel="00000000" w:rsidP="00000000" w:rsidRDefault="00000000" w:rsidRPr="00000000" w14:paraId="0000013A">
      <w:pPr>
        <w:numPr>
          <w:ilvl w:val="0"/>
          <w:numId w:val="27"/>
        </w:numPr>
        <w:ind w:left="720" w:hanging="360"/>
        <w:rPr>
          <w:u w:val="none"/>
        </w:rPr>
      </w:pPr>
      <w:r w:rsidDel="00000000" w:rsidR="00000000" w:rsidRPr="00000000">
        <w:rPr>
          <w:rtl w:val="0"/>
        </w:rPr>
        <w:t xml:space="preserve">Seamless DSR handling for consumer requests,  </w:t>
      </w:r>
    </w:p>
    <w:p w:rsidR="00000000" w:rsidDel="00000000" w:rsidP="00000000" w:rsidRDefault="00000000" w:rsidRPr="00000000" w14:paraId="0000013B">
      <w:pPr>
        <w:numPr>
          <w:ilvl w:val="0"/>
          <w:numId w:val="27"/>
        </w:numPr>
        <w:ind w:left="720" w:hanging="360"/>
        <w:rPr>
          <w:u w:val="none"/>
        </w:rPr>
      </w:pPr>
      <w:r w:rsidDel="00000000" w:rsidR="00000000" w:rsidRPr="00000000">
        <w:rPr>
          <w:rtl w:val="0"/>
        </w:rPr>
        <w:t xml:space="preserve">In-depth security with advanced threat detection and quick breach reporting, and  </w:t>
      </w:r>
    </w:p>
    <w:p w:rsidR="00000000" w:rsidDel="00000000" w:rsidP="00000000" w:rsidRDefault="00000000" w:rsidRPr="00000000" w14:paraId="0000013C">
      <w:pPr>
        <w:numPr>
          <w:ilvl w:val="0"/>
          <w:numId w:val="27"/>
        </w:numPr>
        <w:ind w:left="720" w:hanging="360"/>
        <w:rPr>
          <w:u w:val="none"/>
        </w:rPr>
      </w:pPr>
      <w:r w:rsidDel="00000000" w:rsidR="00000000" w:rsidRPr="00000000">
        <w:rPr>
          <w:rtl w:val="0"/>
        </w:rPr>
        <w:t xml:space="preserve">Scalable architecture that remains adaptable as privacy regulations evolve.</w:t>
      </w:r>
    </w:p>
    <w:p w:rsidR="00000000" w:rsidDel="00000000" w:rsidP="00000000" w:rsidRDefault="00000000" w:rsidRPr="00000000" w14:paraId="0000013D">
      <w:pPr>
        <w:spacing w:before="200" w:lineRule="auto"/>
        <w:rPr/>
      </w:pPr>
      <w:r w:rsidDel="00000000" w:rsidR="00000000" w:rsidRPr="00000000">
        <w:rPr>
          <w:rtl w:val="0"/>
        </w:rPr>
        <w:t xml:space="preserve">Ultimately, we seek a long-term partner capable of maintaining our compliance posture under MODPA while enhancing consumer trust and operational efficiency.</w:t>
      </w:r>
    </w:p>
    <w:p w:rsidR="00000000" w:rsidDel="00000000" w:rsidP="00000000" w:rsidRDefault="00000000" w:rsidRPr="00000000" w14:paraId="0000013E">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F">
      <w:pPr>
        <w:spacing w:before="200" w:lineRule="auto"/>
        <w:ind w:left="720" w:firstLine="0"/>
        <w:rPr/>
      </w:pPr>
      <w:r w:rsidDel="00000000" w:rsidR="00000000" w:rsidRPr="00000000">
        <w:rPr>
          <w:b w:val="1"/>
          <w:rtl w:val="0"/>
        </w:rPr>
        <w:t xml:space="preserve">Disclaimer:</w:t>
      </w:r>
      <w:r w:rsidDel="00000000" w:rsidR="00000000" w:rsidRPr="00000000">
        <w:rPr>
          <w:rtl w:val="0"/>
        </w:rPr>
        <w:t xml:space="preserve"> This template provides general guidance for drafting an RFP under the Maryland Online Data Privacy Act. Each organization should customize content for specific risk profiles, data environments, and legal obligations. Consulting with legal and privacy professionals is recommended before finalizing any RFP or contract for MODPA compliance.</w:t>
      </w:r>
    </w:p>
    <w:p w:rsidR="00000000" w:rsidDel="00000000" w:rsidP="00000000" w:rsidRDefault="00000000" w:rsidRPr="00000000" w14:paraId="00000140">
      <w:pPr>
        <w:rPr>
          <w:b w:val="1"/>
          <w:color w:val="404041"/>
          <w:sz w:val="27"/>
          <w:szCs w:val="27"/>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