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Below is a long-form Request for Proposal (RFP) template designed for organizations seeking </w:t>
      </w:r>
      <w:r w:rsidDel="00000000" w:rsidR="00000000" w:rsidRPr="00000000">
        <w:rPr>
          <w:b w:val="1"/>
          <w:rtl w:val="0"/>
        </w:rPr>
        <w:t xml:space="preserve">comprehensive solutions to achieve and maintain compliance with the European Union’s NIS2 Directive.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pStyle w:val="Heading2"/>
        <w:rPr/>
      </w:pPr>
      <w:bookmarkStart w:colFirst="0" w:colLast="0" w:name="_wnwhn1y2f96h" w:id="0"/>
      <w:bookmarkEnd w:id="0"/>
      <w:r w:rsidDel="00000000" w:rsidR="00000000" w:rsidRPr="00000000">
        <w:rPr>
          <w:b w:val="1"/>
          <w:sz w:val="34"/>
          <w:szCs w:val="34"/>
          <w:rtl w:val="0"/>
        </w:rPr>
        <w:t xml:space="preserve">Table of Contents</w:t>
      </w:r>
      <w:r w:rsidDel="00000000" w:rsidR="00000000" w:rsidRPr="00000000">
        <w:rPr>
          <w:rtl w:val="0"/>
        </w:rPr>
      </w:r>
    </w:p>
    <w:p w:rsidR="00000000" w:rsidDel="00000000" w:rsidP="00000000" w:rsidRDefault="00000000" w:rsidRPr="00000000" w14:paraId="00000003">
      <w:pPr>
        <w:numPr>
          <w:ilvl w:val="0"/>
          <w:numId w:val="6"/>
        </w:numPr>
        <w:spacing w:before="200" w:lineRule="auto"/>
        <w:ind w:left="720" w:hanging="360"/>
        <w:rPr>
          <w:b w:val="1"/>
        </w:rPr>
      </w:pPr>
      <w:r w:rsidDel="00000000" w:rsidR="00000000" w:rsidRPr="00000000">
        <w:rPr>
          <w:b w:val="1"/>
          <w:rtl w:val="0"/>
        </w:rPr>
        <w:t xml:space="preserve">Introduction and Overview  </w:t>
      </w:r>
    </w:p>
    <w:p w:rsidR="00000000" w:rsidDel="00000000" w:rsidP="00000000" w:rsidRDefault="00000000" w:rsidRPr="00000000" w14:paraId="00000004">
      <w:pPr>
        <w:ind w:left="720" w:firstLine="0"/>
        <w:rPr/>
      </w:pPr>
      <w:r w:rsidDel="00000000" w:rsidR="00000000" w:rsidRPr="00000000">
        <w:rPr>
          <w:rtl w:val="0"/>
        </w:rPr>
        <w:t xml:space="preserve">1.1 Purpose  </w:t>
      </w:r>
    </w:p>
    <w:p w:rsidR="00000000" w:rsidDel="00000000" w:rsidP="00000000" w:rsidRDefault="00000000" w:rsidRPr="00000000" w14:paraId="00000005">
      <w:pPr>
        <w:ind w:left="720" w:firstLine="0"/>
        <w:rPr/>
      </w:pPr>
      <w:r w:rsidDel="00000000" w:rsidR="00000000" w:rsidRPr="00000000">
        <w:rPr>
          <w:rtl w:val="0"/>
        </w:rPr>
        <w:t xml:space="preserve">1.2 Background on NIS2 Directive  </w:t>
      </w:r>
    </w:p>
    <w:p w:rsidR="00000000" w:rsidDel="00000000" w:rsidP="00000000" w:rsidRDefault="00000000" w:rsidRPr="00000000" w14:paraId="00000006">
      <w:pPr>
        <w:ind w:left="720" w:firstLine="0"/>
        <w:rPr/>
      </w:pPr>
      <w:r w:rsidDel="00000000" w:rsidR="00000000" w:rsidRPr="00000000">
        <w:rPr>
          <w:rtl w:val="0"/>
        </w:rPr>
        <w:t xml:space="preserve">1.3 Organizational Context and Current Challenges  </w:t>
      </w:r>
    </w:p>
    <w:p w:rsidR="00000000" w:rsidDel="00000000" w:rsidP="00000000" w:rsidRDefault="00000000" w:rsidRPr="00000000" w14:paraId="00000007">
      <w:pPr>
        <w:ind w:left="720" w:firstLine="0"/>
        <w:rPr/>
      </w:pPr>
      <w:r w:rsidDel="00000000" w:rsidR="00000000" w:rsidRPr="00000000">
        <w:rPr>
          <w:rtl w:val="0"/>
        </w:rPr>
        <w:t xml:space="preserve">1.4 Objectives and Success Criteria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6"/>
        </w:numPr>
        <w:ind w:left="720" w:hanging="360"/>
        <w:rPr>
          <w:b w:val="1"/>
        </w:rPr>
      </w:pPr>
      <w:r w:rsidDel="00000000" w:rsidR="00000000" w:rsidRPr="00000000">
        <w:rPr>
          <w:b w:val="1"/>
          <w:rtl w:val="0"/>
        </w:rPr>
        <w:t xml:space="preserve">Scope of the RFP  </w:t>
      </w:r>
    </w:p>
    <w:p w:rsidR="00000000" w:rsidDel="00000000" w:rsidP="00000000" w:rsidRDefault="00000000" w:rsidRPr="00000000" w14:paraId="0000000A">
      <w:pPr>
        <w:ind w:left="720" w:firstLine="0"/>
        <w:rPr/>
      </w:pPr>
      <w:r w:rsidDel="00000000" w:rsidR="00000000" w:rsidRPr="00000000">
        <w:rPr>
          <w:rtl w:val="0"/>
        </w:rPr>
        <w:t xml:space="preserve">2.1 In-Scope Entities and Systems  </w:t>
      </w:r>
    </w:p>
    <w:p w:rsidR="00000000" w:rsidDel="00000000" w:rsidP="00000000" w:rsidRDefault="00000000" w:rsidRPr="00000000" w14:paraId="0000000B">
      <w:pPr>
        <w:ind w:left="720" w:firstLine="0"/>
        <w:rPr/>
      </w:pPr>
      <w:r w:rsidDel="00000000" w:rsidR="00000000" w:rsidRPr="00000000">
        <w:rPr>
          <w:rtl w:val="0"/>
        </w:rPr>
        <w:t xml:space="preserve">2.2 NIS2 Compliance Areas Addressed  </w:t>
      </w:r>
    </w:p>
    <w:p w:rsidR="00000000" w:rsidDel="00000000" w:rsidP="00000000" w:rsidRDefault="00000000" w:rsidRPr="00000000" w14:paraId="0000000C">
      <w:pPr>
        <w:ind w:left="720" w:firstLine="0"/>
        <w:rPr/>
      </w:pPr>
      <w:r w:rsidDel="00000000" w:rsidR="00000000" w:rsidRPr="00000000">
        <w:rPr>
          <w:rtl w:val="0"/>
        </w:rPr>
        <w:t xml:space="preserve">2.3 Desired Outcomes and Key Deliverables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numPr>
          <w:ilvl w:val="0"/>
          <w:numId w:val="6"/>
        </w:numPr>
        <w:ind w:left="720" w:hanging="360"/>
        <w:rPr>
          <w:b w:val="1"/>
        </w:rPr>
      </w:pPr>
      <w:r w:rsidDel="00000000" w:rsidR="00000000" w:rsidRPr="00000000">
        <w:rPr>
          <w:b w:val="1"/>
          <w:rtl w:val="0"/>
        </w:rPr>
        <w:t xml:space="preserve">Technical and Functional Requirements  </w:t>
      </w:r>
    </w:p>
    <w:p w:rsidR="00000000" w:rsidDel="00000000" w:rsidP="00000000" w:rsidRDefault="00000000" w:rsidRPr="00000000" w14:paraId="0000000F">
      <w:pPr>
        <w:ind w:left="720" w:firstLine="0"/>
        <w:rPr/>
      </w:pPr>
      <w:r w:rsidDel="00000000" w:rsidR="00000000" w:rsidRPr="00000000">
        <w:rPr>
          <w:rtl w:val="0"/>
        </w:rPr>
        <w:t xml:space="preserve">3.1 Asset Discovery and Real-Time Visibility (IT, OT, IoT, ICS, etc.)  </w:t>
      </w:r>
    </w:p>
    <w:p w:rsidR="00000000" w:rsidDel="00000000" w:rsidP="00000000" w:rsidRDefault="00000000" w:rsidRPr="00000000" w14:paraId="00000010">
      <w:pPr>
        <w:ind w:left="720" w:firstLine="0"/>
        <w:rPr/>
      </w:pPr>
      <w:r w:rsidDel="00000000" w:rsidR="00000000" w:rsidRPr="00000000">
        <w:rPr>
          <w:rtl w:val="0"/>
        </w:rPr>
        <w:t xml:space="preserve">3.2 Vulnerability Management and Threat Prioritization  </w:t>
      </w:r>
    </w:p>
    <w:p w:rsidR="00000000" w:rsidDel="00000000" w:rsidP="00000000" w:rsidRDefault="00000000" w:rsidRPr="00000000" w14:paraId="00000011">
      <w:pPr>
        <w:ind w:left="720" w:firstLine="0"/>
        <w:rPr/>
      </w:pPr>
      <w:r w:rsidDel="00000000" w:rsidR="00000000" w:rsidRPr="00000000">
        <w:rPr>
          <w:rtl w:val="0"/>
        </w:rPr>
        <w:t xml:space="preserve">3.3 Incident Detection, Response, and Recovery  </w:t>
      </w:r>
    </w:p>
    <w:p w:rsidR="00000000" w:rsidDel="00000000" w:rsidP="00000000" w:rsidRDefault="00000000" w:rsidRPr="00000000" w14:paraId="00000012">
      <w:pPr>
        <w:ind w:left="720" w:firstLine="0"/>
        <w:rPr/>
      </w:pPr>
      <w:r w:rsidDel="00000000" w:rsidR="00000000" w:rsidRPr="00000000">
        <w:rPr>
          <w:rtl w:val="0"/>
        </w:rPr>
        <w:t xml:space="preserve">3.4 Risk Assessment and Governance  </w:t>
      </w:r>
    </w:p>
    <w:p w:rsidR="00000000" w:rsidDel="00000000" w:rsidP="00000000" w:rsidRDefault="00000000" w:rsidRPr="00000000" w14:paraId="00000013">
      <w:pPr>
        <w:ind w:left="720" w:firstLine="0"/>
        <w:rPr/>
      </w:pPr>
      <w:r w:rsidDel="00000000" w:rsidR="00000000" w:rsidRPr="00000000">
        <w:rPr>
          <w:rtl w:val="0"/>
        </w:rPr>
        <w:t xml:space="preserve">3.5 Continuous Monitoring and Behavioral Analysis  </w:t>
      </w:r>
    </w:p>
    <w:p w:rsidR="00000000" w:rsidDel="00000000" w:rsidP="00000000" w:rsidRDefault="00000000" w:rsidRPr="00000000" w14:paraId="00000014">
      <w:pPr>
        <w:ind w:left="720" w:firstLine="0"/>
        <w:rPr/>
      </w:pPr>
      <w:r w:rsidDel="00000000" w:rsidR="00000000" w:rsidRPr="00000000">
        <w:rPr>
          <w:rtl w:val="0"/>
        </w:rPr>
        <w:t xml:space="preserve">3.6 Integration with Existing Security Ecosystems  </w:t>
      </w:r>
    </w:p>
    <w:p w:rsidR="00000000" w:rsidDel="00000000" w:rsidP="00000000" w:rsidRDefault="00000000" w:rsidRPr="00000000" w14:paraId="00000015">
      <w:pPr>
        <w:ind w:left="720" w:firstLine="0"/>
        <w:rPr/>
      </w:pPr>
      <w:r w:rsidDel="00000000" w:rsidR="00000000" w:rsidRPr="00000000">
        <w:rPr>
          <w:rtl w:val="0"/>
        </w:rPr>
        <w:t xml:space="preserve">3.7 Reporting, Audit, and Regulatory Compliance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numPr>
          <w:ilvl w:val="0"/>
          <w:numId w:val="6"/>
        </w:numPr>
        <w:ind w:left="720" w:hanging="360"/>
        <w:rPr>
          <w:b w:val="1"/>
        </w:rPr>
      </w:pPr>
      <w:r w:rsidDel="00000000" w:rsidR="00000000" w:rsidRPr="00000000">
        <w:rPr>
          <w:b w:val="1"/>
          <w:rtl w:val="0"/>
        </w:rPr>
        <w:t xml:space="preserve">Implementation Approach and Project Delivery  </w:t>
      </w:r>
    </w:p>
    <w:p w:rsidR="00000000" w:rsidDel="00000000" w:rsidP="00000000" w:rsidRDefault="00000000" w:rsidRPr="00000000" w14:paraId="00000018">
      <w:pPr>
        <w:ind w:left="720" w:firstLine="0"/>
        <w:rPr/>
      </w:pPr>
      <w:r w:rsidDel="00000000" w:rsidR="00000000" w:rsidRPr="00000000">
        <w:rPr>
          <w:rtl w:val="0"/>
        </w:rPr>
        <w:t xml:space="preserve">4.1 Deployment Models (On-Prem, Cloud, Hybrid)  </w:t>
      </w:r>
    </w:p>
    <w:p w:rsidR="00000000" w:rsidDel="00000000" w:rsidP="00000000" w:rsidRDefault="00000000" w:rsidRPr="00000000" w14:paraId="00000019">
      <w:pPr>
        <w:ind w:left="720" w:firstLine="0"/>
        <w:rPr/>
      </w:pPr>
      <w:r w:rsidDel="00000000" w:rsidR="00000000" w:rsidRPr="00000000">
        <w:rPr>
          <w:rtl w:val="0"/>
        </w:rPr>
        <w:t xml:space="preserve">4.2 Project Methodology and Phased Rollout  </w:t>
      </w:r>
    </w:p>
    <w:p w:rsidR="00000000" w:rsidDel="00000000" w:rsidP="00000000" w:rsidRDefault="00000000" w:rsidRPr="00000000" w14:paraId="0000001A">
      <w:pPr>
        <w:ind w:left="720" w:firstLine="0"/>
        <w:rPr/>
      </w:pPr>
      <w:r w:rsidDel="00000000" w:rsidR="00000000" w:rsidRPr="00000000">
        <w:rPr>
          <w:rtl w:val="0"/>
        </w:rPr>
        <w:t xml:space="preserve">4.3 Change Management, Training, and Stakeholder Engagement  </w:t>
      </w:r>
    </w:p>
    <w:p w:rsidR="00000000" w:rsidDel="00000000" w:rsidP="00000000" w:rsidRDefault="00000000" w:rsidRPr="00000000" w14:paraId="0000001B">
      <w:pPr>
        <w:ind w:left="720" w:firstLine="0"/>
        <w:rPr/>
      </w:pPr>
      <w:r w:rsidDel="00000000" w:rsidR="00000000" w:rsidRPr="00000000">
        <w:rPr>
          <w:rtl w:val="0"/>
        </w:rPr>
        <w:t xml:space="preserve">4.4 Risk Management and Contingency Planning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numPr>
          <w:ilvl w:val="0"/>
          <w:numId w:val="6"/>
        </w:numPr>
        <w:ind w:left="720" w:hanging="360"/>
        <w:rPr>
          <w:b w:val="1"/>
        </w:rPr>
      </w:pPr>
      <w:r w:rsidDel="00000000" w:rsidR="00000000" w:rsidRPr="00000000">
        <w:rPr>
          <w:b w:val="1"/>
          <w:rtl w:val="0"/>
        </w:rPr>
        <w:t xml:space="preserve">Vendor Qualifications and Experience  </w:t>
      </w:r>
    </w:p>
    <w:p w:rsidR="00000000" w:rsidDel="00000000" w:rsidP="00000000" w:rsidRDefault="00000000" w:rsidRPr="00000000" w14:paraId="0000001E">
      <w:pPr>
        <w:ind w:left="720" w:firstLine="0"/>
        <w:rPr/>
      </w:pPr>
      <w:r w:rsidDel="00000000" w:rsidR="00000000" w:rsidRPr="00000000">
        <w:rPr>
          <w:rtl w:val="0"/>
        </w:rPr>
        <w:t xml:space="preserve">5.1 Company Profile and Financial Stability  </w:t>
      </w:r>
    </w:p>
    <w:p w:rsidR="00000000" w:rsidDel="00000000" w:rsidP="00000000" w:rsidRDefault="00000000" w:rsidRPr="00000000" w14:paraId="0000001F">
      <w:pPr>
        <w:ind w:left="720" w:firstLine="0"/>
        <w:rPr/>
      </w:pPr>
      <w:r w:rsidDel="00000000" w:rsidR="00000000" w:rsidRPr="00000000">
        <w:rPr>
          <w:rtl w:val="0"/>
        </w:rPr>
        <w:t xml:space="preserve">5.2 NIS2 Regulatory Expertise and Track Record  </w:t>
      </w:r>
    </w:p>
    <w:p w:rsidR="00000000" w:rsidDel="00000000" w:rsidP="00000000" w:rsidRDefault="00000000" w:rsidRPr="00000000" w14:paraId="00000020">
      <w:pPr>
        <w:ind w:left="720" w:firstLine="0"/>
        <w:rPr/>
      </w:pPr>
      <w:r w:rsidDel="00000000" w:rsidR="00000000" w:rsidRPr="00000000">
        <w:rPr>
          <w:rtl w:val="0"/>
        </w:rPr>
        <w:t xml:space="preserve">5.3 Industry Experience and Case Studies  </w:t>
      </w:r>
    </w:p>
    <w:p w:rsidR="00000000" w:rsidDel="00000000" w:rsidP="00000000" w:rsidRDefault="00000000" w:rsidRPr="00000000" w14:paraId="00000021">
      <w:pPr>
        <w:ind w:left="720" w:firstLine="0"/>
        <w:rPr/>
      </w:pPr>
      <w:r w:rsidDel="00000000" w:rsidR="00000000" w:rsidRPr="00000000">
        <w:rPr>
          <w:rtl w:val="0"/>
        </w:rPr>
        <w:t xml:space="preserve">5.4 Partnerships, Certifications, and Accreditations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numPr>
          <w:ilvl w:val="0"/>
          <w:numId w:val="6"/>
        </w:numPr>
        <w:ind w:left="720" w:hanging="360"/>
        <w:rPr>
          <w:b w:val="1"/>
        </w:rPr>
      </w:pPr>
      <w:r w:rsidDel="00000000" w:rsidR="00000000" w:rsidRPr="00000000">
        <w:rPr>
          <w:b w:val="1"/>
          <w:rtl w:val="0"/>
        </w:rPr>
        <w:t xml:space="preserve">Pricing, Licensing, and Commercial Terms  </w:t>
      </w:r>
    </w:p>
    <w:p w:rsidR="00000000" w:rsidDel="00000000" w:rsidP="00000000" w:rsidRDefault="00000000" w:rsidRPr="00000000" w14:paraId="00000024">
      <w:pPr>
        <w:ind w:left="720" w:firstLine="0"/>
        <w:rPr/>
      </w:pPr>
      <w:r w:rsidDel="00000000" w:rsidR="00000000" w:rsidRPr="00000000">
        <w:rPr>
          <w:rtl w:val="0"/>
        </w:rPr>
        <w:t xml:space="preserve">6.1 Cost Model (Subscription, Perpetual, Consumption-Based)  </w:t>
      </w:r>
    </w:p>
    <w:p w:rsidR="00000000" w:rsidDel="00000000" w:rsidP="00000000" w:rsidRDefault="00000000" w:rsidRPr="00000000" w14:paraId="00000025">
      <w:pPr>
        <w:ind w:left="720" w:firstLine="0"/>
        <w:rPr/>
      </w:pPr>
      <w:r w:rsidDel="00000000" w:rsidR="00000000" w:rsidRPr="00000000">
        <w:rPr>
          <w:rtl w:val="0"/>
        </w:rPr>
        <w:t xml:space="preserve">6.2 Maintenance, Support, and SLAs  </w:t>
      </w:r>
    </w:p>
    <w:p w:rsidR="00000000" w:rsidDel="00000000" w:rsidP="00000000" w:rsidRDefault="00000000" w:rsidRPr="00000000" w14:paraId="00000026">
      <w:pPr>
        <w:ind w:left="720" w:firstLine="0"/>
        <w:rPr/>
      </w:pPr>
      <w:r w:rsidDel="00000000" w:rsidR="00000000" w:rsidRPr="00000000">
        <w:rPr>
          <w:rtl w:val="0"/>
        </w:rPr>
        <w:t xml:space="preserve">6.3 Additional Services and Future Scalability  </w:t>
      </w:r>
    </w:p>
    <w:p w:rsidR="00000000" w:rsidDel="00000000" w:rsidP="00000000" w:rsidRDefault="00000000" w:rsidRPr="00000000" w14:paraId="00000027">
      <w:pPr>
        <w:ind w:left="720" w:firstLine="0"/>
        <w:rPr/>
      </w:pPr>
      <w:r w:rsidDel="00000000" w:rsidR="00000000" w:rsidRPr="00000000">
        <w:rPr>
          <w:rtl w:val="0"/>
        </w:rPr>
        <w:t xml:space="preserve">6.4 Payment Terms and Contractual Flexibility  </w:t>
      </w:r>
    </w:p>
    <w:p w:rsidR="00000000" w:rsidDel="00000000" w:rsidP="00000000" w:rsidRDefault="00000000" w:rsidRPr="00000000" w14:paraId="00000028">
      <w:pPr>
        <w:rPr>
          <w:b w:val="1"/>
        </w:rPr>
      </w:pPr>
      <w:r w:rsidDel="00000000" w:rsidR="00000000" w:rsidRPr="00000000">
        <w:rPr>
          <w:rtl w:val="0"/>
        </w:rPr>
      </w:r>
    </w:p>
    <w:p w:rsidR="00000000" w:rsidDel="00000000" w:rsidP="00000000" w:rsidRDefault="00000000" w:rsidRPr="00000000" w14:paraId="00000029">
      <w:pPr>
        <w:numPr>
          <w:ilvl w:val="0"/>
          <w:numId w:val="6"/>
        </w:numPr>
        <w:ind w:left="720" w:hanging="360"/>
        <w:rPr>
          <w:b w:val="1"/>
        </w:rPr>
      </w:pPr>
      <w:r w:rsidDel="00000000" w:rsidR="00000000" w:rsidRPr="00000000">
        <w:rPr>
          <w:b w:val="1"/>
          <w:rtl w:val="0"/>
        </w:rPr>
        <w:t xml:space="preserve">Evaluation Criteria and Process  </w:t>
      </w:r>
    </w:p>
    <w:p w:rsidR="00000000" w:rsidDel="00000000" w:rsidP="00000000" w:rsidRDefault="00000000" w:rsidRPr="00000000" w14:paraId="0000002A">
      <w:pPr>
        <w:ind w:left="720" w:firstLine="0"/>
        <w:rPr/>
      </w:pPr>
      <w:r w:rsidDel="00000000" w:rsidR="00000000" w:rsidRPr="00000000">
        <w:rPr>
          <w:rtl w:val="0"/>
        </w:rPr>
        <w:t xml:space="preserve">7.1 Alignment with NIS2 Requirements and Technical Fit  </w:t>
      </w:r>
    </w:p>
    <w:p w:rsidR="00000000" w:rsidDel="00000000" w:rsidP="00000000" w:rsidRDefault="00000000" w:rsidRPr="00000000" w14:paraId="0000002B">
      <w:pPr>
        <w:ind w:left="720" w:firstLine="0"/>
        <w:rPr/>
      </w:pPr>
      <w:r w:rsidDel="00000000" w:rsidR="00000000" w:rsidRPr="00000000">
        <w:rPr>
          <w:rtl w:val="0"/>
        </w:rPr>
        <w:t xml:space="preserve">7.2 Total Cost of Ownership and ROI  </w:t>
      </w:r>
    </w:p>
    <w:p w:rsidR="00000000" w:rsidDel="00000000" w:rsidP="00000000" w:rsidRDefault="00000000" w:rsidRPr="00000000" w14:paraId="0000002C">
      <w:pPr>
        <w:ind w:left="720" w:firstLine="0"/>
        <w:rPr/>
      </w:pPr>
      <w:r w:rsidDel="00000000" w:rsidR="00000000" w:rsidRPr="00000000">
        <w:rPr>
          <w:rtl w:val="0"/>
        </w:rPr>
        <w:t xml:space="preserve">7.3 Vendor Reliability, Implementation Feasibility, and Support Model  </w:t>
      </w:r>
    </w:p>
    <w:p w:rsidR="00000000" w:rsidDel="00000000" w:rsidP="00000000" w:rsidRDefault="00000000" w:rsidRPr="00000000" w14:paraId="0000002D">
      <w:pPr>
        <w:ind w:left="720" w:firstLine="0"/>
        <w:rPr/>
      </w:pPr>
      <w:r w:rsidDel="00000000" w:rsidR="00000000" w:rsidRPr="00000000">
        <w:rPr>
          <w:rtl w:val="0"/>
        </w:rPr>
        <w:t xml:space="preserve">7.4 Risk Mitigation and Long-Term Partnership Potential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6"/>
        </w:numPr>
        <w:ind w:left="720" w:hanging="360"/>
        <w:rPr>
          <w:b w:val="1"/>
        </w:rPr>
      </w:pPr>
      <w:r w:rsidDel="00000000" w:rsidR="00000000" w:rsidRPr="00000000">
        <w:rPr>
          <w:b w:val="1"/>
          <w:rtl w:val="0"/>
        </w:rPr>
        <w:t xml:space="preserve">Proposal Submission Guidelines  </w:t>
      </w:r>
    </w:p>
    <w:p w:rsidR="00000000" w:rsidDel="00000000" w:rsidP="00000000" w:rsidRDefault="00000000" w:rsidRPr="00000000" w14:paraId="00000030">
      <w:pPr>
        <w:ind w:left="720" w:firstLine="0"/>
        <w:rPr/>
      </w:pPr>
      <w:r w:rsidDel="00000000" w:rsidR="00000000" w:rsidRPr="00000000">
        <w:rPr>
          <w:rtl w:val="0"/>
        </w:rPr>
        <w:t xml:space="preserve">8.1 RFP Timeline and Deadlines  </w:t>
      </w:r>
    </w:p>
    <w:p w:rsidR="00000000" w:rsidDel="00000000" w:rsidP="00000000" w:rsidRDefault="00000000" w:rsidRPr="00000000" w14:paraId="00000031">
      <w:pPr>
        <w:ind w:left="720" w:firstLine="0"/>
        <w:rPr/>
      </w:pPr>
      <w:r w:rsidDel="00000000" w:rsidR="00000000" w:rsidRPr="00000000">
        <w:rPr>
          <w:rtl w:val="0"/>
        </w:rPr>
        <w:t xml:space="preserve">8.2 Proposal Structure and Required Components  </w:t>
      </w:r>
    </w:p>
    <w:p w:rsidR="00000000" w:rsidDel="00000000" w:rsidP="00000000" w:rsidRDefault="00000000" w:rsidRPr="00000000" w14:paraId="00000032">
      <w:pPr>
        <w:ind w:left="720" w:firstLine="0"/>
        <w:rPr/>
      </w:pPr>
      <w:r w:rsidDel="00000000" w:rsidR="00000000" w:rsidRPr="00000000">
        <w:rPr>
          <w:rtl w:val="0"/>
        </w:rPr>
        <w:t xml:space="preserve">8.3 Communication, Clarifications, and Q&amp;A  </w:t>
      </w:r>
    </w:p>
    <w:p w:rsidR="00000000" w:rsidDel="00000000" w:rsidP="00000000" w:rsidRDefault="00000000" w:rsidRPr="00000000" w14:paraId="00000033">
      <w:pPr>
        <w:ind w:left="720" w:firstLine="0"/>
        <w:rPr/>
      </w:pPr>
      <w:r w:rsidDel="00000000" w:rsidR="00000000" w:rsidRPr="00000000">
        <w:rPr>
          <w:rtl w:val="0"/>
        </w:rPr>
        <w:t xml:space="preserve">8.4 Final Selection, Negotiation, and Award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numPr>
          <w:ilvl w:val="0"/>
          <w:numId w:val="6"/>
        </w:numPr>
        <w:ind w:left="720" w:hanging="360"/>
        <w:rPr>
          <w:b w:val="1"/>
        </w:rPr>
      </w:pPr>
      <w:r w:rsidDel="00000000" w:rsidR="00000000" w:rsidRPr="00000000">
        <w:rPr>
          <w:b w:val="1"/>
          <w:rtl w:val="0"/>
        </w:rPr>
        <w:t xml:space="preserve">Legal and Contractual Considerations  </w:t>
      </w:r>
    </w:p>
    <w:p w:rsidR="00000000" w:rsidDel="00000000" w:rsidP="00000000" w:rsidRDefault="00000000" w:rsidRPr="00000000" w14:paraId="00000036">
      <w:pPr>
        <w:ind w:left="720" w:firstLine="0"/>
        <w:rPr/>
      </w:pPr>
      <w:r w:rsidDel="00000000" w:rsidR="00000000" w:rsidRPr="00000000">
        <w:rPr>
          <w:rtl w:val="0"/>
        </w:rPr>
        <w:t xml:space="preserve">9.1 Confidentiality, Non-Disclosure, and Data Handling  </w:t>
      </w:r>
    </w:p>
    <w:p w:rsidR="00000000" w:rsidDel="00000000" w:rsidP="00000000" w:rsidRDefault="00000000" w:rsidRPr="00000000" w14:paraId="00000037">
      <w:pPr>
        <w:ind w:left="720" w:firstLine="0"/>
        <w:rPr/>
      </w:pPr>
      <w:r w:rsidDel="00000000" w:rsidR="00000000" w:rsidRPr="00000000">
        <w:rPr>
          <w:rtl w:val="0"/>
        </w:rPr>
        <w:t xml:space="preserve">9.2 Liability, Indemnification, and Insurance  </w:t>
      </w:r>
    </w:p>
    <w:p w:rsidR="00000000" w:rsidDel="00000000" w:rsidP="00000000" w:rsidRDefault="00000000" w:rsidRPr="00000000" w14:paraId="00000038">
      <w:pPr>
        <w:ind w:left="720" w:firstLine="0"/>
        <w:rPr/>
      </w:pPr>
      <w:r w:rsidDel="00000000" w:rsidR="00000000" w:rsidRPr="00000000">
        <w:rPr>
          <w:rtl w:val="0"/>
        </w:rPr>
        <w:t xml:space="preserve">9.3 Contract Duration and Termination Provisions  </w:t>
      </w:r>
    </w:p>
    <w:p w:rsidR="00000000" w:rsidDel="00000000" w:rsidP="00000000" w:rsidRDefault="00000000" w:rsidRPr="00000000" w14:paraId="00000039">
      <w:pPr>
        <w:ind w:left="720" w:firstLine="0"/>
        <w:rPr/>
      </w:pPr>
      <w:r w:rsidDel="00000000" w:rsidR="00000000" w:rsidRPr="00000000">
        <w:rPr>
          <w:rtl w:val="0"/>
        </w:rPr>
        <w:t xml:space="preserve">9.4 Intellectual Property and Ownership  </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numPr>
          <w:ilvl w:val="0"/>
          <w:numId w:val="6"/>
        </w:numPr>
        <w:ind w:left="720" w:hanging="360"/>
        <w:rPr>
          <w:u w:val="none"/>
        </w:rPr>
      </w:pPr>
      <w:r w:rsidDel="00000000" w:rsidR="00000000" w:rsidRPr="00000000">
        <w:rPr>
          <w:b w:val="1"/>
          <w:rtl w:val="0"/>
        </w:rPr>
        <w:t xml:space="preserve">Appendices (Optional)  </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pStyle w:val="Heading2"/>
        <w:spacing w:after="0" w:before="200" w:lineRule="auto"/>
        <w:rPr/>
      </w:pPr>
      <w:bookmarkStart w:colFirst="0" w:colLast="0" w:name="_t5h53ue7x3y" w:id="1"/>
      <w:bookmarkEnd w:id="1"/>
      <w:r w:rsidDel="00000000" w:rsidR="00000000" w:rsidRPr="00000000">
        <w:rPr>
          <w:b w:val="1"/>
          <w:sz w:val="34"/>
          <w:szCs w:val="34"/>
          <w:rtl w:val="0"/>
        </w:rPr>
        <w:t xml:space="preserve">1. Introduction and Overview</w:t>
      </w:r>
      <w:r w:rsidDel="00000000" w:rsidR="00000000" w:rsidRPr="00000000">
        <w:rPr>
          <w:rtl w:val="0"/>
        </w:rPr>
      </w:r>
    </w:p>
    <w:p w:rsidR="00000000" w:rsidDel="00000000" w:rsidP="00000000" w:rsidRDefault="00000000" w:rsidRPr="00000000" w14:paraId="0000003F">
      <w:pPr>
        <w:pStyle w:val="Heading3"/>
        <w:rPr>
          <w:b w:val="1"/>
          <w:color w:val="000000"/>
          <w:sz w:val="26"/>
          <w:szCs w:val="26"/>
        </w:rPr>
      </w:pPr>
      <w:bookmarkStart w:colFirst="0" w:colLast="0" w:name="_nqw5mwoyn1mc" w:id="2"/>
      <w:bookmarkEnd w:id="2"/>
      <w:r w:rsidDel="00000000" w:rsidR="00000000" w:rsidRPr="00000000">
        <w:rPr>
          <w:b w:val="1"/>
          <w:color w:val="000000"/>
          <w:sz w:val="26"/>
          <w:szCs w:val="26"/>
          <w:rtl w:val="0"/>
        </w:rPr>
        <w:t xml:space="preserve">1.1 Purpose</w:t>
      </w:r>
    </w:p>
    <w:p w:rsidR="00000000" w:rsidDel="00000000" w:rsidP="00000000" w:rsidRDefault="00000000" w:rsidRPr="00000000" w14:paraId="00000040">
      <w:pPr>
        <w:spacing w:before="200" w:lineRule="auto"/>
        <w:rPr/>
      </w:pPr>
      <w:r w:rsidDel="00000000" w:rsidR="00000000" w:rsidRPr="00000000">
        <w:rPr>
          <w:rtl w:val="0"/>
        </w:rPr>
        <w:t xml:space="preserve">This RFP seeks to identify and procure a comprehensive cybersecurity solution that ensures our organization’s compliance with the EU Network and Information Security Directive 2 (NIS2). The selected solution must provide continuous visibility and risk management across all connected devices—whether in traditional IT, OT, IoT, ICS, or other specialized environments—to uphold the stringent security standards imposed by NIS2.</w:t>
      </w:r>
    </w:p>
    <w:p w:rsidR="00000000" w:rsidDel="00000000" w:rsidP="00000000" w:rsidRDefault="00000000" w:rsidRPr="00000000" w14:paraId="00000041">
      <w:pPr>
        <w:pStyle w:val="Heading3"/>
        <w:rPr>
          <w:b w:val="1"/>
          <w:color w:val="000000"/>
          <w:sz w:val="26"/>
          <w:szCs w:val="26"/>
        </w:rPr>
      </w:pPr>
      <w:bookmarkStart w:colFirst="0" w:colLast="0" w:name="_2lsb99tqaj5u" w:id="3"/>
      <w:bookmarkEnd w:id="3"/>
      <w:r w:rsidDel="00000000" w:rsidR="00000000" w:rsidRPr="00000000">
        <w:rPr>
          <w:b w:val="1"/>
          <w:color w:val="000000"/>
          <w:sz w:val="26"/>
          <w:szCs w:val="26"/>
          <w:rtl w:val="0"/>
        </w:rPr>
        <w:t xml:space="preserve">1.2 Background on NIS2 Directive</w:t>
      </w:r>
    </w:p>
    <w:p w:rsidR="00000000" w:rsidDel="00000000" w:rsidP="00000000" w:rsidRDefault="00000000" w:rsidRPr="00000000" w14:paraId="00000042">
      <w:pPr>
        <w:spacing w:before="200" w:lineRule="auto"/>
        <w:rPr/>
      </w:pPr>
      <w:r w:rsidDel="00000000" w:rsidR="00000000" w:rsidRPr="00000000">
        <w:rPr>
          <w:rtl w:val="0"/>
        </w:rPr>
        <w:t xml:space="preserve">The NIS2 Directive is an updated regulatory framework mandating that essential and important entities in the European Union:</w:t>
      </w:r>
    </w:p>
    <w:p w:rsidR="00000000" w:rsidDel="00000000" w:rsidP="00000000" w:rsidRDefault="00000000" w:rsidRPr="00000000" w14:paraId="00000043">
      <w:pPr>
        <w:numPr>
          <w:ilvl w:val="0"/>
          <w:numId w:val="1"/>
        </w:numPr>
        <w:spacing w:before="200" w:lineRule="auto"/>
        <w:ind w:left="720" w:hanging="360"/>
        <w:rPr>
          <w:u w:val="none"/>
        </w:rPr>
      </w:pPr>
      <w:r w:rsidDel="00000000" w:rsidR="00000000" w:rsidRPr="00000000">
        <w:rPr>
          <w:rtl w:val="0"/>
        </w:rPr>
        <w:t xml:space="preserve">Implement robust cybersecurity measures, covering both prevention and detection  </w:t>
      </w:r>
    </w:p>
    <w:p w:rsidR="00000000" w:rsidDel="00000000" w:rsidP="00000000" w:rsidRDefault="00000000" w:rsidRPr="00000000" w14:paraId="00000044">
      <w:pPr>
        <w:numPr>
          <w:ilvl w:val="0"/>
          <w:numId w:val="1"/>
        </w:numPr>
        <w:ind w:left="720" w:hanging="360"/>
        <w:rPr>
          <w:u w:val="none"/>
        </w:rPr>
      </w:pPr>
      <w:r w:rsidDel="00000000" w:rsidR="00000000" w:rsidRPr="00000000">
        <w:rPr>
          <w:rtl w:val="0"/>
        </w:rPr>
        <w:t xml:space="preserve">Maintain continuous awareness of potential risks to network and information systems  </w:t>
      </w:r>
    </w:p>
    <w:p w:rsidR="00000000" w:rsidDel="00000000" w:rsidP="00000000" w:rsidRDefault="00000000" w:rsidRPr="00000000" w14:paraId="00000045">
      <w:pPr>
        <w:numPr>
          <w:ilvl w:val="0"/>
          <w:numId w:val="1"/>
        </w:numPr>
        <w:ind w:left="720" w:hanging="360"/>
        <w:rPr>
          <w:u w:val="none"/>
        </w:rPr>
      </w:pPr>
      <w:r w:rsidDel="00000000" w:rsidR="00000000" w:rsidRPr="00000000">
        <w:rPr>
          <w:rtl w:val="0"/>
        </w:rPr>
        <w:t xml:space="preserve">Report significant incidents and near-misses to relevant national authorities  </w:t>
      </w:r>
    </w:p>
    <w:p w:rsidR="00000000" w:rsidDel="00000000" w:rsidP="00000000" w:rsidRDefault="00000000" w:rsidRPr="00000000" w14:paraId="00000046">
      <w:pPr>
        <w:numPr>
          <w:ilvl w:val="0"/>
          <w:numId w:val="1"/>
        </w:numPr>
        <w:ind w:left="720" w:hanging="360"/>
        <w:rPr>
          <w:u w:val="none"/>
        </w:rPr>
      </w:pPr>
      <w:r w:rsidDel="00000000" w:rsidR="00000000" w:rsidRPr="00000000">
        <w:rPr>
          <w:rtl w:val="0"/>
        </w:rPr>
        <w:t xml:space="preserve">Regularly test and audit their cybersecurity posture</w:t>
      </w:r>
    </w:p>
    <w:p w:rsidR="00000000" w:rsidDel="00000000" w:rsidP="00000000" w:rsidRDefault="00000000" w:rsidRPr="00000000" w14:paraId="00000047">
      <w:pPr>
        <w:spacing w:before="200" w:lineRule="auto"/>
        <w:rPr/>
      </w:pPr>
      <w:r w:rsidDel="00000000" w:rsidR="00000000" w:rsidRPr="00000000">
        <w:rPr>
          <w:rtl w:val="0"/>
        </w:rPr>
        <w:t xml:space="preserve">NIS2 broadens the scope to additional sectors and imposes heavier sanctions for non-compliance. Consequently, organizations must demonstrate heightened maturity in their security operations, extending from risk assessment and asset visibility to incident handling and supply chain monitoring.</w:t>
      </w:r>
    </w:p>
    <w:p w:rsidR="00000000" w:rsidDel="00000000" w:rsidP="00000000" w:rsidRDefault="00000000" w:rsidRPr="00000000" w14:paraId="00000048">
      <w:pPr>
        <w:pStyle w:val="Heading3"/>
        <w:rPr>
          <w:b w:val="1"/>
          <w:color w:val="000000"/>
          <w:sz w:val="26"/>
          <w:szCs w:val="26"/>
        </w:rPr>
      </w:pPr>
      <w:bookmarkStart w:colFirst="0" w:colLast="0" w:name="_lz1bqlhzkh8d" w:id="4"/>
      <w:bookmarkEnd w:id="4"/>
      <w:r w:rsidDel="00000000" w:rsidR="00000000" w:rsidRPr="00000000">
        <w:rPr>
          <w:b w:val="1"/>
          <w:color w:val="000000"/>
          <w:sz w:val="26"/>
          <w:szCs w:val="26"/>
          <w:rtl w:val="0"/>
        </w:rPr>
        <w:t xml:space="preserve">1.3 Organizational Context and Current Challenges</w:t>
      </w:r>
    </w:p>
    <w:p w:rsidR="00000000" w:rsidDel="00000000" w:rsidP="00000000" w:rsidRDefault="00000000" w:rsidRPr="00000000" w14:paraId="00000049">
      <w:pPr>
        <w:spacing w:before="200" w:lineRule="auto"/>
        <w:rPr/>
      </w:pPr>
      <w:r w:rsidDel="00000000" w:rsidR="00000000" w:rsidRPr="00000000">
        <w:rPr>
          <w:rtl w:val="0"/>
        </w:rPr>
        <w:t xml:space="preserve">We operate in a complex digital ecosystem with:</w:t>
      </w:r>
    </w:p>
    <w:p w:rsidR="00000000" w:rsidDel="00000000" w:rsidP="00000000" w:rsidRDefault="00000000" w:rsidRPr="00000000" w14:paraId="0000004A">
      <w:pPr>
        <w:numPr>
          <w:ilvl w:val="0"/>
          <w:numId w:val="45"/>
        </w:numPr>
        <w:spacing w:before="200" w:lineRule="auto"/>
        <w:ind w:left="720" w:hanging="360"/>
        <w:rPr>
          <w:u w:val="none"/>
        </w:rPr>
      </w:pPr>
      <w:r w:rsidDel="00000000" w:rsidR="00000000" w:rsidRPr="00000000">
        <w:rPr>
          <w:rtl w:val="0"/>
        </w:rPr>
        <w:t xml:space="preserve">Distributed IT infrastructure (on-premise data centers, cloud environments, remote offices)  </w:t>
      </w:r>
    </w:p>
    <w:p w:rsidR="00000000" w:rsidDel="00000000" w:rsidP="00000000" w:rsidRDefault="00000000" w:rsidRPr="00000000" w14:paraId="0000004B">
      <w:pPr>
        <w:numPr>
          <w:ilvl w:val="0"/>
          <w:numId w:val="45"/>
        </w:numPr>
        <w:ind w:left="720" w:hanging="360"/>
        <w:rPr>
          <w:u w:val="none"/>
        </w:rPr>
      </w:pPr>
      <w:r w:rsidDel="00000000" w:rsidR="00000000" w:rsidRPr="00000000">
        <w:rPr>
          <w:rtl w:val="0"/>
        </w:rPr>
        <w:t xml:space="preserve">OT networks running industrial processes (manufacturing, utilities, or similar)  </w:t>
      </w:r>
    </w:p>
    <w:p w:rsidR="00000000" w:rsidDel="00000000" w:rsidP="00000000" w:rsidRDefault="00000000" w:rsidRPr="00000000" w14:paraId="0000004C">
      <w:pPr>
        <w:numPr>
          <w:ilvl w:val="0"/>
          <w:numId w:val="45"/>
        </w:numPr>
        <w:ind w:left="720" w:hanging="360"/>
        <w:rPr>
          <w:u w:val="none"/>
        </w:rPr>
      </w:pPr>
      <w:r w:rsidDel="00000000" w:rsidR="00000000" w:rsidRPr="00000000">
        <w:rPr>
          <w:rtl w:val="0"/>
        </w:rPr>
        <w:t xml:space="preserve">IoT and ICS devices that often lack comprehensive security controls  </w:t>
      </w:r>
    </w:p>
    <w:p w:rsidR="00000000" w:rsidDel="00000000" w:rsidP="00000000" w:rsidRDefault="00000000" w:rsidRPr="00000000" w14:paraId="0000004D">
      <w:pPr>
        <w:numPr>
          <w:ilvl w:val="0"/>
          <w:numId w:val="45"/>
        </w:numPr>
        <w:ind w:left="720" w:hanging="360"/>
        <w:rPr>
          <w:u w:val="none"/>
        </w:rPr>
      </w:pPr>
      <w:r w:rsidDel="00000000" w:rsidR="00000000" w:rsidRPr="00000000">
        <w:rPr>
          <w:rtl w:val="0"/>
        </w:rPr>
        <w:t xml:space="preserve">Supply chain dependencies where external vendors introduce additional risk</w:t>
      </w:r>
    </w:p>
    <w:p w:rsidR="00000000" w:rsidDel="00000000" w:rsidP="00000000" w:rsidRDefault="00000000" w:rsidRPr="00000000" w14:paraId="0000004E">
      <w:pPr>
        <w:spacing w:before="200" w:lineRule="auto"/>
        <w:rPr/>
      </w:pPr>
      <w:r w:rsidDel="00000000" w:rsidR="00000000" w:rsidRPr="00000000">
        <w:rPr>
          <w:rtl w:val="0"/>
        </w:rPr>
        <w:t xml:space="preserve">Currently, we face these key challenges:</w:t>
      </w:r>
    </w:p>
    <w:p w:rsidR="00000000" w:rsidDel="00000000" w:rsidP="00000000" w:rsidRDefault="00000000" w:rsidRPr="00000000" w14:paraId="0000004F">
      <w:pPr>
        <w:numPr>
          <w:ilvl w:val="0"/>
          <w:numId w:val="5"/>
        </w:numPr>
        <w:spacing w:before="200" w:lineRule="auto"/>
        <w:ind w:left="720" w:hanging="360"/>
        <w:rPr>
          <w:u w:val="none"/>
        </w:rPr>
      </w:pPr>
      <w:r w:rsidDel="00000000" w:rsidR="00000000" w:rsidRPr="00000000">
        <w:rPr>
          <w:b w:val="1"/>
          <w:rtl w:val="0"/>
        </w:rPr>
        <w:t xml:space="preserve">Inadequate Asset Visibility: </w:t>
      </w:r>
      <w:r w:rsidDel="00000000" w:rsidR="00000000" w:rsidRPr="00000000">
        <w:rPr>
          <w:rtl w:val="0"/>
        </w:rPr>
        <w:t xml:space="preserve">We need a holistic view of all connected devices across IT and OT domains.  </w:t>
      </w:r>
    </w:p>
    <w:p w:rsidR="00000000" w:rsidDel="00000000" w:rsidP="00000000" w:rsidRDefault="00000000" w:rsidRPr="00000000" w14:paraId="00000050">
      <w:pPr>
        <w:numPr>
          <w:ilvl w:val="0"/>
          <w:numId w:val="5"/>
        </w:numPr>
        <w:ind w:left="720" w:hanging="360"/>
        <w:rPr>
          <w:u w:val="none"/>
        </w:rPr>
      </w:pPr>
      <w:r w:rsidDel="00000000" w:rsidR="00000000" w:rsidRPr="00000000">
        <w:rPr>
          <w:b w:val="1"/>
          <w:rtl w:val="0"/>
        </w:rPr>
        <w:t xml:space="preserve">Fragmented Security Controls:</w:t>
      </w:r>
      <w:r w:rsidDel="00000000" w:rsidR="00000000" w:rsidRPr="00000000">
        <w:rPr>
          <w:rtl w:val="0"/>
        </w:rPr>
        <w:t xml:space="preserve"> Siloed systems and tools make it difficult to coordinate vulnerability management and incident response.  </w:t>
      </w:r>
    </w:p>
    <w:p w:rsidR="00000000" w:rsidDel="00000000" w:rsidP="00000000" w:rsidRDefault="00000000" w:rsidRPr="00000000" w14:paraId="00000051">
      <w:pPr>
        <w:numPr>
          <w:ilvl w:val="0"/>
          <w:numId w:val="5"/>
        </w:numPr>
        <w:ind w:left="720" w:hanging="360"/>
        <w:rPr>
          <w:u w:val="none"/>
        </w:rPr>
      </w:pPr>
      <w:r w:rsidDel="00000000" w:rsidR="00000000" w:rsidRPr="00000000">
        <w:rPr>
          <w:b w:val="1"/>
          <w:rtl w:val="0"/>
        </w:rPr>
        <w:t xml:space="preserve">Evolving Threat Landscape:</w:t>
      </w:r>
      <w:r w:rsidDel="00000000" w:rsidR="00000000" w:rsidRPr="00000000">
        <w:rPr>
          <w:rtl w:val="0"/>
        </w:rPr>
        <w:t xml:space="preserve"> Attackers increasingly target ICS/OT environments, IoT devices, and unsecured remote endpoints.  </w:t>
      </w:r>
    </w:p>
    <w:p w:rsidR="00000000" w:rsidDel="00000000" w:rsidP="00000000" w:rsidRDefault="00000000" w:rsidRPr="00000000" w14:paraId="00000052">
      <w:pPr>
        <w:numPr>
          <w:ilvl w:val="0"/>
          <w:numId w:val="5"/>
        </w:numPr>
        <w:ind w:left="720" w:hanging="360"/>
        <w:rPr>
          <w:u w:val="none"/>
        </w:rPr>
      </w:pPr>
      <w:r w:rsidDel="00000000" w:rsidR="00000000" w:rsidRPr="00000000">
        <w:rPr>
          <w:b w:val="1"/>
          <w:rtl w:val="0"/>
        </w:rPr>
        <w:t xml:space="preserve">Regulatory Pressures: </w:t>
      </w:r>
      <w:r w:rsidDel="00000000" w:rsidR="00000000" w:rsidRPr="00000000">
        <w:rPr>
          <w:rtl w:val="0"/>
        </w:rPr>
        <w:t xml:space="preserve">NIS2 demands higher levels of accountability, reporting, and technical compliance than previous regulations.</w:t>
      </w:r>
    </w:p>
    <w:p w:rsidR="00000000" w:rsidDel="00000000" w:rsidP="00000000" w:rsidRDefault="00000000" w:rsidRPr="00000000" w14:paraId="00000053">
      <w:pPr>
        <w:pStyle w:val="Heading3"/>
        <w:rPr>
          <w:b w:val="1"/>
          <w:color w:val="000000"/>
          <w:sz w:val="26"/>
          <w:szCs w:val="26"/>
        </w:rPr>
      </w:pPr>
      <w:bookmarkStart w:colFirst="0" w:colLast="0" w:name="_aizmygcsjyc" w:id="5"/>
      <w:bookmarkEnd w:id="5"/>
      <w:r w:rsidDel="00000000" w:rsidR="00000000" w:rsidRPr="00000000">
        <w:rPr>
          <w:b w:val="1"/>
          <w:color w:val="000000"/>
          <w:sz w:val="26"/>
          <w:szCs w:val="26"/>
          <w:rtl w:val="0"/>
        </w:rPr>
        <w:t xml:space="preserve">1.4 Objectives and Success Criteria</w:t>
      </w:r>
    </w:p>
    <w:p w:rsidR="00000000" w:rsidDel="00000000" w:rsidP="00000000" w:rsidRDefault="00000000" w:rsidRPr="00000000" w14:paraId="00000054">
      <w:pPr>
        <w:numPr>
          <w:ilvl w:val="0"/>
          <w:numId w:val="27"/>
        </w:numPr>
        <w:spacing w:before="200" w:lineRule="auto"/>
        <w:ind w:left="720" w:hanging="360"/>
        <w:rPr>
          <w:u w:val="none"/>
        </w:rPr>
      </w:pPr>
      <w:r w:rsidDel="00000000" w:rsidR="00000000" w:rsidRPr="00000000">
        <w:rPr>
          <w:b w:val="1"/>
          <w:rtl w:val="0"/>
        </w:rPr>
        <w:t xml:space="preserve">NIS2 Compliance: </w:t>
      </w:r>
      <w:r w:rsidDel="00000000" w:rsidR="00000000" w:rsidRPr="00000000">
        <w:rPr>
          <w:rtl w:val="0"/>
        </w:rPr>
        <w:t xml:space="preserve">Achieve and maintain continuous compliance with the directive’s requirements and national implementations in all relevant jurisdictions.  </w:t>
      </w:r>
    </w:p>
    <w:p w:rsidR="00000000" w:rsidDel="00000000" w:rsidP="00000000" w:rsidRDefault="00000000" w:rsidRPr="00000000" w14:paraId="00000055">
      <w:pPr>
        <w:numPr>
          <w:ilvl w:val="0"/>
          <w:numId w:val="27"/>
        </w:numPr>
        <w:ind w:left="720" w:hanging="360"/>
        <w:rPr>
          <w:u w:val="none"/>
        </w:rPr>
      </w:pPr>
      <w:r w:rsidDel="00000000" w:rsidR="00000000" w:rsidRPr="00000000">
        <w:rPr>
          <w:b w:val="1"/>
          <w:rtl w:val="0"/>
        </w:rPr>
        <w:t xml:space="preserve">Unified Risk Management: </w:t>
      </w:r>
      <w:r w:rsidDel="00000000" w:rsidR="00000000" w:rsidRPr="00000000">
        <w:rPr>
          <w:rtl w:val="0"/>
        </w:rPr>
        <w:t xml:space="preserve">Integrate asset discovery, vulnerability management, and incident response into a single platform, ensuring enterprise-wide visibility and control.  </w:t>
      </w:r>
    </w:p>
    <w:p w:rsidR="00000000" w:rsidDel="00000000" w:rsidP="00000000" w:rsidRDefault="00000000" w:rsidRPr="00000000" w14:paraId="00000056">
      <w:pPr>
        <w:numPr>
          <w:ilvl w:val="0"/>
          <w:numId w:val="27"/>
        </w:numPr>
        <w:ind w:left="720" w:hanging="360"/>
        <w:rPr>
          <w:u w:val="none"/>
        </w:rPr>
      </w:pPr>
      <w:r w:rsidDel="00000000" w:rsidR="00000000" w:rsidRPr="00000000">
        <w:rPr>
          <w:b w:val="1"/>
          <w:rtl w:val="0"/>
        </w:rPr>
        <w:t xml:space="preserve">Efficient Incident Handling: </w:t>
      </w:r>
      <w:r w:rsidDel="00000000" w:rsidR="00000000" w:rsidRPr="00000000">
        <w:rPr>
          <w:rtl w:val="0"/>
        </w:rPr>
        <w:t xml:space="preserve">Reduce Mean Time to Detect (MTTD) and Mean Time to Respond (MTTR) for incidents affecting critical services.  </w:t>
      </w:r>
    </w:p>
    <w:p w:rsidR="00000000" w:rsidDel="00000000" w:rsidP="00000000" w:rsidRDefault="00000000" w:rsidRPr="00000000" w14:paraId="00000057">
      <w:pPr>
        <w:numPr>
          <w:ilvl w:val="0"/>
          <w:numId w:val="27"/>
        </w:numPr>
        <w:ind w:left="720" w:hanging="360"/>
        <w:rPr>
          <w:u w:val="none"/>
        </w:rPr>
      </w:pPr>
      <w:r w:rsidDel="00000000" w:rsidR="00000000" w:rsidRPr="00000000">
        <w:rPr>
          <w:b w:val="1"/>
          <w:rtl w:val="0"/>
        </w:rPr>
        <w:t xml:space="preserve">Scalability and Future-Proofing:</w:t>
      </w:r>
      <w:r w:rsidDel="00000000" w:rsidR="00000000" w:rsidRPr="00000000">
        <w:rPr>
          <w:rtl w:val="0"/>
        </w:rPr>
        <w:t xml:space="preserve"> Ensure the solution can adapt to new threats, device types, and regulatory updates without complete system overhauls.</w:t>
      </w:r>
    </w:p>
    <w:p w:rsidR="00000000" w:rsidDel="00000000" w:rsidP="00000000" w:rsidRDefault="00000000" w:rsidRPr="00000000" w14:paraId="0000005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pStyle w:val="Heading2"/>
        <w:spacing w:after="0" w:before="200" w:lineRule="auto"/>
        <w:rPr/>
      </w:pPr>
      <w:bookmarkStart w:colFirst="0" w:colLast="0" w:name="_2hf589ey9e8e" w:id="6"/>
      <w:bookmarkEnd w:id="6"/>
      <w:r w:rsidDel="00000000" w:rsidR="00000000" w:rsidRPr="00000000">
        <w:rPr>
          <w:b w:val="1"/>
          <w:sz w:val="34"/>
          <w:szCs w:val="34"/>
          <w:rtl w:val="0"/>
        </w:rPr>
        <w:t xml:space="preserve">2. Scope of the RFP</w:t>
      </w:r>
      <w:r w:rsidDel="00000000" w:rsidR="00000000" w:rsidRPr="00000000">
        <w:rPr>
          <w:rtl w:val="0"/>
        </w:rPr>
      </w:r>
    </w:p>
    <w:p w:rsidR="00000000" w:rsidDel="00000000" w:rsidP="00000000" w:rsidRDefault="00000000" w:rsidRPr="00000000" w14:paraId="0000005A">
      <w:pPr>
        <w:pStyle w:val="Heading3"/>
        <w:rPr>
          <w:b w:val="1"/>
          <w:color w:val="000000"/>
          <w:sz w:val="26"/>
          <w:szCs w:val="26"/>
        </w:rPr>
      </w:pPr>
      <w:bookmarkStart w:colFirst="0" w:colLast="0" w:name="_vk2s83p71xw7" w:id="7"/>
      <w:bookmarkEnd w:id="7"/>
      <w:r w:rsidDel="00000000" w:rsidR="00000000" w:rsidRPr="00000000">
        <w:rPr>
          <w:b w:val="1"/>
          <w:color w:val="000000"/>
          <w:sz w:val="26"/>
          <w:szCs w:val="26"/>
          <w:rtl w:val="0"/>
        </w:rPr>
        <w:t xml:space="preserve">2.1 In-Scope Entities and Systems</w:t>
      </w:r>
    </w:p>
    <w:p w:rsidR="00000000" w:rsidDel="00000000" w:rsidP="00000000" w:rsidRDefault="00000000" w:rsidRPr="00000000" w14:paraId="0000005B">
      <w:pPr>
        <w:spacing w:before="200" w:lineRule="auto"/>
        <w:rPr/>
      </w:pPr>
      <w:r w:rsidDel="00000000" w:rsidR="00000000" w:rsidRPr="00000000">
        <w:rPr>
          <w:rtl w:val="0"/>
        </w:rPr>
        <w:t xml:space="preserve">The RFP covers all critical systems and network-connected devices operated by our organization, including:</w:t>
      </w:r>
    </w:p>
    <w:p w:rsidR="00000000" w:rsidDel="00000000" w:rsidP="00000000" w:rsidRDefault="00000000" w:rsidRPr="00000000" w14:paraId="0000005C">
      <w:pPr>
        <w:numPr>
          <w:ilvl w:val="0"/>
          <w:numId w:val="4"/>
        </w:numPr>
        <w:spacing w:before="200" w:lineRule="auto"/>
        <w:ind w:left="720" w:hanging="360"/>
        <w:rPr>
          <w:u w:val="none"/>
        </w:rPr>
      </w:pPr>
      <w:r w:rsidDel="00000000" w:rsidR="00000000" w:rsidRPr="00000000">
        <w:rPr>
          <w:rtl w:val="0"/>
        </w:rPr>
        <w:t xml:space="preserve">IT endpoints, servers, networking equipment, and cloud services  </w:t>
      </w:r>
    </w:p>
    <w:p w:rsidR="00000000" w:rsidDel="00000000" w:rsidP="00000000" w:rsidRDefault="00000000" w:rsidRPr="00000000" w14:paraId="0000005D">
      <w:pPr>
        <w:numPr>
          <w:ilvl w:val="0"/>
          <w:numId w:val="4"/>
        </w:numPr>
        <w:ind w:left="720" w:hanging="360"/>
        <w:rPr>
          <w:u w:val="none"/>
        </w:rPr>
      </w:pPr>
      <w:r w:rsidDel="00000000" w:rsidR="00000000" w:rsidRPr="00000000">
        <w:rPr>
          <w:rtl w:val="0"/>
        </w:rPr>
        <w:t xml:space="preserve">Operational Technology (OT) and ICS devices controlling manufacturing or industrial processes  </w:t>
      </w:r>
    </w:p>
    <w:p w:rsidR="00000000" w:rsidDel="00000000" w:rsidP="00000000" w:rsidRDefault="00000000" w:rsidRPr="00000000" w14:paraId="0000005E">
      <w:pPr>
        <w:numPr>
          <w:ilvl w:val="0"/>
          <w:numId w:val="4"/>
        </w:numPr>
        <w:ind w:left="720" w:hanging="360"/>
        <w:rPr>
          <w:u w:val="none"/>
        </w:rPr>
      </w:pPr>
      <w:r w:rsidDel="00000000" w:rsidR="00000000" w:rsidRPr="00000000">
        <w:rPr>
          <w:rtl w:val="0"/>
        </w:rPr>
        <w:t xml:space="preserve">IoT devices (cameras, sensors, building management systems, etc.)  </w:t>
      </w:r>
    </w:p>
    <w:p w:rsidR="00000000" w:rsidDel="00000000" w:rsidP="00000000" w:rsidRDefault="00000000" w:rsidRPr="00000000" w14:paraId="0000005F">
      <w:pPr>
        <w:numPr>
          <w:ilvl w:val="0"/>
          <w:numId w:val="4"/>
        </w:numPr>
        <w:ind w:left="720" w:hanging="360"/>
        <w:rPr>
          <w:u w:val="none"/>
        </w:rPr>
      </w:pPr>
      <w:r w:rsidDel="00000000" w:rsidR="00000000" w:rsidRPr="00000000">
        <w:rPr>
          <w:rtl w:val="0"/>
        </w:rPr>
        <w:t xml:space="preserve">Potential expansions to supply chain or partner networks that connect to our infrastructure</w:t>
      </w:r>
    </w:p>
    <w:p w:rsidR="00000000" w:rsidDel="00000000" w:rsidP="00000000" w:rsidRDefault="00000000" w:rsidRPr="00000000" w14:paraId="00000060">
      <w:pPr>
        <w:pStyle w:val="Heading3"/>
        <w:rPr>
          <w:b w:val="1"/>
          <w:color w:val="000000"/>
          <w:sz w:val="26"/>
          <w:szCs w:val="26"/>
        </w:rPr>
      </w:pPr>
      <w:bookmarkStart w:colFirst="0" w:colLast="0" w:name="_5ja5qe4xlydh" w:id="8"/>
      <w:bookmarkEnd w:id="8"/>
      <w:r w:rsidDel="00000000" w:rsidR="00000000" w:rsidRPr="00000000">
        <w:rPr>
          <w:b w:val="1"/>
          <w:color w:val="000000"/>
          <w:sz w:val="26"/>
          <w:szCs w:val="26"/>
          <w:rtl w:val="0"/>
        </w:rPr>
        <w:t xml:space="preserve">2.2 NIS2 Compliance Areas Addressed</w:t>
      </w:r>
    </w:p>
    <w:p w:rsidR="00000000" w:rsidDel="00000000" w:rsidP="00000000" w:rsidRDefault="00000000" w:rsidRPr="00000000" w14:paraId="00000061">
      <w:pPr>
        <w:spacing w:before="200" w:lineRule="auto"/>
        <w:rPr/>
      </w:pPr>
      <w:r w:rsidDel="00000000" w:rsidR="00000000" w:rsidRPr="00000000">
        <w:rPr>
          <w:rtl w:val="0"/>
        </w:rPr>
        <w:t xml:space="preserve">We expect the solution to address key NIS2 pillars, including but not limited to:</w:t>
      </w:r>
    </w:p>
    <w:p w:rsidR="00000000" w:rsidDel="00000000" w:rsidP="00000000" w:rsidRDefault="00000000" w:rsidRPr="00000000" w14:paraId="00000062">
      <w:pPr>
        <w:numPr>
          <w:ilvl w:val="0"/>
          <w:numId w:val="43"/>
        </w:numPr>
        <w:spacing w:before="200" w:lineRule="auto"/>
        <w:ind w:left="720" w:hanging="360"/>
        <w:rPr>
          <w:u w:val="none"/>
        </w:rPr>
      </w:pPr>
      <w:r w:rsidDel="00000000" w:rsidR="00000000" w:rsidRPr="00000000">
        <w:rPr>
          <w:rtl w:val="0"/>
        </w:rPr>
        <w:t xml:space="preserve">Risk Analysis and Governance  </w:t>
      </w:r>
    </w:p>
    <w:p w:rsidR="00000000" w:rsidDel="00000000" w:rsidP="00000000" w:rsidRDefault="00000000" w:rsidRPr="00000000" w14:paraId="00000063">
      <w:pPr>
        <w:numPr>
          <w:ilvl w:val="0"/>
          <w:numId w:val="43"/>
        </w:numPr>
        <w:ind w:left="720" w:hanging="360"/>
        <w:rPr>
          <w:u w:val="none"/>
        </w:rPr>
      </w:pPr>
      <w:r w:rsidDel="00000000" w:rsidR="00000000" w:rsidRPr="00000000">
        <w:rPr>
          <w:rtl w:val="0"/>
        </w:rPr>
        <w:t xml:space="preserve">Technical and Organizational Measures (covering asset management, vulnerability scanning, incident detection)  </w:t>
      </w:r>
    </w:p>
    <w:p w:rsidR="00000000" w:rsidDel="00000000" w:rsidP="00000000" w:rsidRDefault="00000000" w:rsidRPr="00000000" w14:paraId="00000064">
      <w:pPr>
        <w:numPr>
          <w:ilvl w:val="0"/>
          <w:numId w:val="43"/>
        </w:numPr>
        <w:ind w:left="720" w:hanging="360"/>
        <w:rPr>
          <w:u w:val="none"/>
        </w:rPr>
      </w:pPr>
      <w:r w:rsidDel="00000000" w:rsidR="00000000" w:rsidRPr="00000000">
        <w:rPr>
          <w:rtl w:val="0"/>
        </w:rPr>
        <w:t xml:space="preserve">Incident Reporting in line with mandatory timelines and guidelines  </w:t>
      </w:r>
    </w:p>
    <w:p w:rsidR="00000000" w:rsidDel="00000000" w:rsidP="00000000" w:rsidRDefault="00000000" w:rsidRPr="00000000" w14:paraId="00000065">
      <w:pPr>
        <w:numPr>
          <w:ilvl w:val="0"/>
          <w:numId w:val="43"/>
        </w:numPr>
        <w:ind w:left="720" w:hanging="360"/>
        <w:rPr>
          <w:u w:val="none"/>
        </w:rPr>
      </w:pPr>
      <w:r w:rsidDel="00000000" w:rsidR="00000000" w:rsidRPr="00000000">
        <w:rPr>
          <w:rtl w:val="0"/>
        </w:rPr>
        <w:t xml:space="preserve">Supply Chain Security to identify and address dependencies on external service providers</w:t>
      </w:r>
    </w:p>
    <w:p w:rsidR="00000000" w:rsidDel="00000000" w:rsidP="00000000" w:rsidRDefault="00000000" w:rsidRPr="00000000" w14:paraId="00000066">
      <w:pPr>
        <w:pStyle w:val="Heading3"/>
        <w:rPr>
          <w:b w:val="1"/>
          <w:color w:val="000000"/>
          <w:sz w:val="26"/>
          <w:szCs w:val="26"/>
        </w:rPr>
      </w:pPr>
      <w:bookmarkStart w:colFirst="0" w:colLast="0" w:name="_o1rxwe3pdu1u" w:id="9"/>
      <w:bookmarkEnd w:id="9"/>
      <w:r w:rsidDel="00000000" w:rsidR="00000000" w:rsidRPr="00000000">
        <w:rPr>
          <w:b w:val="1"/>
          <w:color w:val="000000"/>
          <w:sz w:val="26"/>
          <w:szCs w:val="26"/>
          <w:rtl w:val="0"/>
        </w:rPr>
        <w:t xml:space="preserve">2.3 Desired Outcomes and Key Deliverables</w:t>
      </w:r>
    </w:p>
    <w:p w:rsidR="00000000" w:rsidDel="00000000" w:rsidP="00000000" w:rsidRDefault="00000000" w:rsidRPr="00000000" w14:paraId="00000067">
      <w:pPr>
        <w:numPr>
          <w:ilvl w:val="0"/>
          <w:numId w:val="7"/>
        </w:numPr>
        <w:spacing w:before="200" w:lineRule="auto"/>
        <w:ind w:left="720" w:hanging="360"/>
        <w:rPr>
          <w:u w:val="none"/>
        </w:rPr>
      </w:pPr>
      <w:r w:rsidDel="00000000" w:rsidR="00000000" w:rsidRPr="00000000">
        <w:rPr>
          <w:b w:val="1"/>
          <w:rtl w:val="0"/>
        </w:rPr>
        <w:t xml:space="preserve">Continuous Asset Inventory: </w:t>
      </w:r>
      <w:r w:rsidDel="00000000" w:rsidR="00000000" w:rsidRPr="00000000">
        <w:rPr>
          <w:rtl w:val="0"/>
        </w:rPr>
        <w:t xml:space="preserve">Automatically discovering and profiling every connected device (IT, OT, IoT, ICS).  </w:t>
      </w:r>
    </w:p>
    <w:p w:rsidR="00000000" w:rsidDel="00000000" w:rsidP="00000000" w:rsidRDefault="00000000" w:rsidRPr="00000000" w14:paraId="00000068">
      <w:pPr>
        <w:numPr>
          <w:ilvl w:val="0"/>
          <w:numId w:val="7"/>
        </w:numPr>
        <w:ind w:left="720" w:hanging="360"/>
        <w:rPr>
          <w:u w:val="none"/>
        </w:rPr>
      </w:pPr>
      <w:r w:rsidDel="00000000" w:rsidR="00000000" w:rsidRPr="00000000">
        <w:rPr>
          <w:b w:val="1"/>
          <w:rtl w:val="0"/>
        </w:rPr>
        <w:t xml:space="preserve">Adaptive Threat Detection: </w:t>
      </w:r>
      <w:r w:rsidDel="00000000" w:rsidR="00000000" w:rsidRPr="00000000">
        <w:rPr>
          <w:rtl w:val="0"/>
        </w:rPr>
        <w:t xml:space="preserve">Identifying malicious activity via behavioral analysis, threat intelligence, and anomaly detection.  </w:t>
      </w:r>
    </w:p>
    <w:p w:rsidR="00000000" w:rsidDel="00000000" w:rsidP="00000000" w:rsidRDefault="00000000" w:rsidRPr="00000000" w14:paraId="00000069">
      <w:pPr>
        <w:numPr>
          <w:ilvl w:val="0"/>
          <w:numId w:val="7"/>
        </w:numPr>
        <w:ind w:left="720" w:hanging="360"/>
        <w:rPr>
          <w:u w:val="none"/>
        </w:rPr>
      </w:pPr>
      <w:r w:rsidDel="00000000" w:rsidR="00000000" w:rsidRPr="00000000">
        <w:rPr>
          <w:b w:val="1"/>
          <w:rtl w:val="0"/>
        </w:rPr>
        <w:t xml:space="preserve">Unified Security Platform:</w:t>
      </w:r>
      <w:r w:rsidDel="00000000" w:rsidR="00000000" w:rsidRPr="00000000">
        <w:rPr>
          <w:rtl w:val="0"/>
        </w:rPr>
        <w:t xml:space="preserve"> Centralized dashboards, integrated workflows, and automated reporting for regulatory and management needs.  </w:t>
      </w:r>
    </w:p>
    <w:p w:rsidR="00000000" w:rsidDel="00000000" w:rsidP="00000000" w:rsidRDefault="00000000" w:rsidRPr="00000000" w14:paraId="0000006A">
      <w:pPr>
        <w:numPr>
          <w:ilvl w:val="0"/>
          <w:numId w:val="7"/>
        </w:numPr>
        <w:ind w:left="720" w:hanging="360"/>
        <w:rPr>
          <w:u w:val="none"/>
        </w:rPr>
      </w:pPr>
      <w:r w:rsidDel="00000000" w:rsidR="00000000" w:rsidRPr="00000000">
        <w:rPr>
          <w:b w:val="1"/>
          <w:rtl w:val="0"/>
        </w:rPr>
        <w:t xml:space="preserve">Documented Policies and Procedures: </w:t>
      </w:r>
      <w:r w:rsidDel="00000000" w:rsidR="00000000" w:rsidRPr="00000000">
        <w:rPr>
          <w:rtl w:val="0"/>
        </w:rPr>
        <w:t xml:space="preserve">Updated or newly created security policies, runbooks, and compliance documentation supporting NIS2 audits.</w:t>
      </w:r>
    </w:p>
    <w:p w:rsidR="00000000" w:rsidDel="00000000" w:rsidP="00000000" w:rsidRDefault="00000000" w:rsidRPr="00000000" w14:paraId="0000006B">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C">
      <w:pPr>
        <w:pStyle w:val="Heading2"/>
        <w:spacing w:after="0" w:before="200" w:lineRule="auto"/>
        <w:rPr>
          <w:b w:val="1"/>
          <w:color w:val="000000"/>
          <w:sz w:val="26"/>
          <w:szCs w:val="26"/>
        </w:rPr>
      </w:pPr>
      <w:bookmarkStart w:colFirst="0" w:colLast="0" w:name="_qkps1pc56lko" w:id="10"/>
      <w:bookmarkEnd w:id="10"/>
      <w:r w:rsidDel="00000000" w:rsidR="00000000" w:rsidRPr="00000000">
        <w:rPr>
          <w:b w:val="1"/>
          <w:sz w:val="34"/>
          <w:szCs w:val="34"/>
          <w:rtl w:val="0"/>
        </w:rPr>
        <w:t xml:space="preserve">3. Technical and Functional Requirements</w:t>
      </w:r>
      <w:r w:rsidDel="00000000" w:rsidR="00000000" w:rsidRPr="00000000">
        <w:rPr>
          <w:rtl w:val="0"/>
        </w:rPr>
      </w:r>
    </w:p>
    <w:p w:rsidR="00000000" w:rsidDel="00000000" w:rsidP="00000000" w:rsidRDefault="00000000" w:rsidRPr="00000000" w14:paraId="0000006D">
      <w:pPr>
        <w:pStyle w:val="Heading3"/>
        <w:rPr/>
      </w:pPr>
      <w:bookmarkStart w:colFirst="0" w:colLast="0" w:name="_6f4wa6m4q9gg" w:id="11"/>
      <w:bookmarkEnd w:id="11"/>
      <w:r w:rsidDel="00000000" w:rsidR="00000000" w:rsidRPr="00000000">
        <w:rPr>
          <w:b w:val="1"/>
          <w:color w:val="000000"/>
          <w:sz w:val="26"/>
          <w:szCs w:val="26"/>
          <w:rtl w:val="0"/>
        </w:rPr>
        <w:t xml:space="preserve">3.1 Asset Discovery and Real-Time Visibility (IT, OT, IoT, ICS, etc.)</w:t>
      </w:r>
      <w:r w:rsidDel="00000000" w:rsidR="00000000" w:rsidRPr="00000000">
        <w:rPr>
          <w:rtl w:val="0"/>
        </w:rPr>
      </w:r>
    </w:p>
    <w:p w:rsidR="00000000" w:rsidDel="00000000" w:rsidP="00000000" w:rsidRDefault="00000000" w:rsidRPr="00000000" w14:paraId="0000006E">
      <w:pPr>
        <w:numPr>
          <w:ilvl w:val="0"/>
          <w:numId w:val="46"/>
        </w:numPr>
        <w:spacing w:before="200" w:lineRule="auto"/>
        <w:ind w:left="720" w:hanging="360"/>
        <w:rPr>
          <w:b w:val="1"/>
        </w:rPr>
      </w:pPr>
      <w:r w:rsidDel="00000000" w:rsidR="00000000" w:rsidRPr="00000000">
        <w:rPr>
          <w:b w:val="1"/>
          <w:rtl w:val="0"/>
        </w:rPr>
        <w:t xml:space="preserve">Agentless or Non-Intrusive Monitoring  </w:t>
      </w:r>
    </w:p>
    <w:p w:rsidR="00000000" w:rsidDel="00000000" w:rsidP="00000000" w:rsidRDefault="00000000" w:rsidRPr="00000000" w14:paraId="0000006F">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Detect and classify devices across segmented or air-gapped networks without installing software agents, which can be infeasible on OT or legacy systems.  </w:t>
      </w:r>
    </w:p>
    <w:p w:rsidR="00000000" w:rsidDel="00000000" w:rsidP="00000000" w:rsidRDefault="00000000" w:rsidRPr="00000000" w14:paraId="00000070">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Continuous scans updating the asset inventory in real time or near real time.</w:t>
      </w:r>
    </w:p>
    <w:p w:rsidR="00000000" w:rsidDel="00000000" w:rsidP="00000000" w:rsidRDefault="00000000" w:rsidRPr="00000000" w14:paraId="00000071">
      <w:pPr>
        <w:numPr>
          <w:ilvl w:val="0"/>
          <w:numId w:val="46"/>
        </w:numPr>
        <w:spacing w:after="0" w:before="200" w:lineRule="auto"/>
        <w:ind w:left="720" w:hanging="360"/>
        <w:rPr>
          <w:b w:val="1"/>
        </w:rPr>
      </w:pPr>
      <w:r w:rsidDel="00000000" w:rsidR="00000000" w:rsidRPr="00000000">
        <w:rPr>
          <w:b w:val="1"/>
          <w:rtl w:val="0"/>
        </w:rPr>
        <w:t xml:space="preserve">Extensive Device Classification  </w:t>
      </w:r>
    </w:p>
    <w:p w:rsidR="00000000" w:rsidDel="00000000" w:rsidP="00000000" w:rsidRDefault="00000000" w:rsidRPr="00000000" w14:paraId="00000072">
      <w:pPr>
        <w:numPr>
          <w:ilvl w:val="0"/>
          <w:numId w:val="32"/>
        </w:numPr>
        <w:spacing w:after="0" w:before="200" w:lineRule="auto"/>
        <w:ind w:left="1440" w:hanging="360"/>
        <w:rPr>
          <w:u w:val="none"/>
        </w:rPr>
      </w:pPr>
      <w:r w:rsidDel="00000000" w:rsidR="00000000" w:rsidRPr="00000000">
        <w:rPr>
          <w:rtl w:val="0"/>
        </w:rPr>
        <w:t xml:space="preserve">Ability to fingerprint and categorize devices based on OS, firmware versions, protocols used, and typical usage patterns.  </w:t>
      </w:r>
    </w:p>
    <w:p w:rsidR="00000000" w:rsidDel="00000000" w:rsidP="00000000" w:rsidRDefault="00000000" w:rsidRPr="00000000" w14:paraId="00000073">
      <w:pPr>
        <w:numPr>
          <w:ilvl w:val="0"/>
          <w:numId w:val="32"/>
        </w:numPr>
        <w:ind w:left="1440" w:hanging="360"/>
        <w:rPr>
          <w:u w:val="none"/>
        </w:rPr>
      </w:pPr>
      <w:r w:rsidDel="00000000" w:rsidR="00000000" w:rsidRPr="00000000">
        <w:rPr>
          <w:rtl w:val="0"/>
        </w:rPr>
        <w:t xml:space="preserve">Provide in-depth context, such as device vendor, model, operational roles (PLC, HMI, SCADA controllers, IoT sensors, etc.).</w:t>
      </w:r>
    </w:p>
    <w:p w:rsidR="00000000" w:rsidDel="00000000" w:rsidP="00000000" w:rsidRDefault="00000000" w:rsidRPr="00000000" w14:paraId="00000074">
      <w:pPr>
        <w:numPr>
          <w:ilvl w:val="0"/>
          <w:numId w:val="46"/>
        </w:numPr>
        <w:spacing w:after="0" w:before="200" w:lineRule="auto"/>
        <w:ind w:left="720" w:hanging="360"/>
        <w:rPr>
          <w:b w:val="1"/>
        </w:rPr>
      </w:pPr>
      <w:r w:rsidDel="00000000" w:rsidR="00000000" w:rsidRPr="00000000">
        <w:rPr>
          <w:b w:val="1"/>
          <w:rtl w:val="0"/>
        </w:rPr>
        <w:t xml:space="preserve">Baseline Behavior Profiles  </w:t>
      </w:r>
    </w:p>
    <w:p w:rsidR="00000000" w:rsidDel="00000000" w:rsidP="00000000" w:rsidRDefault="00000000" w:rsidRPr="00000000" w14:paraId="00000075">
      <w:pPr>
        <w:numPr>
          <w:ilvl w:val="0"/>
          <w:numId w:val="24"/>
        </w:numPr>
        <w:spacing w:before="200" w:lineRule="auto"/>
        <w:ind w:left="1440" w:hanging="360"/>
        <w:rPr>
          <w:u w:val="none"/>
        </w:rPr>
      </w:pPr>
      <w:r w:rsidDel="00000000" w:rsidR="00000000" w:rsidRPr="00000000">
        <w:rPr>
          <w:rtl w:val="0"/>
        </w:rPr>
        <w:t xml:space="preserve">Establish normal traffic patterns and device behaviors, generating alerts on deviations or suspicious anomalies indicative of compromise.</w:t>
      </w:r>
    </w:p>
    <w:p w:rsidR="00000000" w:rsidDel="00000000" w:rsidP="00000000" w:rsidRDefault="00000000" w:rsidRPr="00000000" w14:paraId="00000076">
      <w:pPr>
        <w:pStyle w:val="Heading3"/>
        <w:rPr>
          <w:b w:val="1"/>
          <w:color w:val="000000"/>
          <w:sz w:val="26"/>
          <w:szCs w:val="26"/>
        </w:rPr>
      </w:pPr>
      <w:bookmarkStart w:colFirst="0" w:colLast="0" w:name="_61y44tej697t" w:id="12"/>
      <w:bookmarkEnd w:id="12"/>
      <w:r w:rsidDel="00000000" w:rsidR="00000000" w:rsidRPr="00000000">
        <w:rPr>
          <w:b w:val="1"/>
          <w:color w:val="000000"/>
          <w:sz w:val="26"/>
          <w:szCs w:val="26"/>
          <w:rtl w:val="0"/>
        </w:rPr>
        <w:t xml:space="preserve">3.2 Vulnerability Management and Threat Prioritization</w:t>
      </w:r>
    </w:p>
    <w:p w:rsidR="00000000" w:rsidDel="00000000" w:rsidP="00000000" w:rsidRDefault="00000000" w:rsidRPr="00000000" w14:paraId="00000077">
      <w:pPr>
        <w:numPr>
          <w:ilvl w:val="0"/>
          <w:numId w:val="49"/>
        </w:numPr>
        <w:spacing w:before="200" w:lineRule="auto"/>
        <w:ind w:left="720" w:hanging="360"/>
        <w:rPr>
          <w:b w:val="1"/>
        </w:rPr>
      </w:pPr>
      <w:r w:rsidDel="00000000" w:rsidR="00000000" w:rsidRPr="00000000">
        <w:rPr>
          <w:b w:val="1"/>
          <w:rtl w:val="0"/>
        </w:rPr>
        <w:t xml:space="preserve">Continuous Vulnerability Scanning  </w:t>
      </w:r>
    </w:p>
    <w:p w:rsidR="00000000" w:rsidDel="00000000" w:rsidP="00000000" w:rsidRDefault="00000000" w:rsidRPr="00000000" w14:paraId="0000007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Scan IT, OT, and IoT devices for known vulnerabilities, assessing both software and firmware versions.  </w:t>
      </w:r>
    </w:p>
    <w:p w:rsidR="00000000" w:rsidDel="00000000" w:rsidP="00000000" w:rsidRDefault="00000000" w:rsidRPr="00000000" w14:paraId="0000007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real-time updates on newly discovered or zero-day vulnerabilities.</w:t>
      </w:r>
    </w:p>
    <w:p w:rsidR="00000000" w:rsidDel="00000000" w:rsidP="00000000" w:rsidRDefault="00000000" w:rsidRPr="00000000" w14:paraId="0000007A">
      <w:pPr>
        <w:numPr>
          <w:ilvl w:val="0"/>
          <w:numId w:val="49"/>
        </w:numPr>
        <w:spacing w:after="0" w:before="200" w:lineRule="auto"/>
        <w:ind w:left="720" w:hanging="360"/>
        <w:rPr>
          <w:b w:val="1"/>
        </w:rPr>
      </w:pPr>
      <w:r w:rsidDel="00000000" w:rsidR="00000000" w:rsidRPr="00000000">
        <w:rPr>
          <w:b w:val="1"/>
          <w:rtl w:val="0"/>
        </w:rPr>
        <w:t xml:space="preserve">Risk-Based Prioritization  </w:t>
      </w:r>
    </w:p>
    <w:p w:rsidR="00000000" w:rsidDel="00000000" w:rsidP="00000000" w:rsidRDefault="00000000" w:rsidRPr="00000000" w14:paraId="0000007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Dynamic scoring based on threat intelligence, exploit availability, device criticality, and business impact.  </w:t>
      </w:r>
    </w:p>
    <w:p w:rsidR="00000000" w:rsidDel="00000000" w:rsidP="00000000" w:rsidRDefault="00000000" w:rsidRPr="00000000" w14:paraId="0000007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workflows to escalate critical vulnerabilities to the security team or patch management systems.</w:t>
      </w:r>
    </w:p>
    <w:p w:rsidR="00000000" w:rsidDel="00000000" w:rsidP="00000000" w:rsidRDefault="00000000" w:rsidRPr="00000000" w14:paraId="0000007D">
      <w:pPr>
        <w:numPr>
          <w:ilvl w:val="0"/>
          <w:numId w:val="49"/>
        </w:numPr>
        <w:spacing w:after="0" w:before="200" w:lineRule="auto"/>
        <w:ind w:left="720" w:hanging="360"/>
        <w:rPr>
          <w:b w:val="1"/>
        </w:rPr>
      </w:pPr>
      <w:r w:rsidDel="00000000" w:rsidR="00000000" w:rsidRPr="00000000">
        <w:rPr>
          <w:b w:val="1"/>
          <w:rtl w:val="0"/>
        </w:rPr>
        <w:t xml:space="preserve">Remediation and Patch Coordination  </w:t>
      </w:r>
    </w:p>
    <w:p w:rsidR="00000000" w:rsidDel="00000000" w:rsidP="00000000" w:rsidRDefault="00000000" w:rsidRPr="00000000" w14:paraId="0000007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Integrate with existing patch management or ticketing solutions to streamline patch deployment.  </w:t>
      </w:r>
    </w:p>
    <w:p w:rsidR="00000000" w:rsidDel="00000000" w:rsidP="00000000" w:rsidRDefault="00000000" w:rsidRPr="00000000" w14:paraId="0000007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Track remediation progress, ensuring accountability for meeting NIS2 compliance deadlines.</w:t>
      </w:r>
    </w:p>
    <w:p w:rsidR="00000000" w:rsidDel="00000000" w:rsidP="00000000" w:rsidRDefault="00000000" w:rsidRPr="00000000" w14:paraId="00000080">
      <w:pPr>
        <w:pStyle w:val="Heading3"/>
        <w:rPr/>
      </w:pPr>
      <w:bookmarkStart w:colFirst="0" w:colLast="0" w:name="_bwzgm9a0508y" w:id="13"/>
      <w:bookmarkEnd w:id="13"/>
      <w:r w:rsidDel="00000000" w:rsidR="00000000" w:rsidRPr="00000000">
        <w:rPr>
          <w:b w:val="1"/>
          <w:color w:val="000000"/>
          <w:sz w:val="26"/>
          <w:szCs w:val="26"/>
          <w:rtl w:val="0"/>
        </w:rPr>
        <w:t xml:space="preserve">3.3 Incident Detection, Response, and Recovery</w:t>
      </w:r>
      <w:r w:rsidDel="00000000" w:rsidR="00000000" w:rsidRPr="00000000">
        <w:rPr>
          <w:rtl w:val="0"/>
        </w:rPr>
      </w:r>
    </w:p>
    <w:p w:rsidR="00000000" w:rsidDel="00000000" w:rsidP="00000000" w:rsidRDefault="00000000" w:rsidRPr="00000000" w14:paraId="00000081">
      <w:pPr>
        <w:numPr>
          <w:ilvl w:val="0"/>
          <w:numId w:val="47"/>
        </w:numPr>
        <w:spacing w:before="200" w:lineRule="auto"/>
        <w:ind w:left="720" w:hanging="360"/>
        <w:rPr>
          <w:b w:val="1"/>
        </w:rPr>
      </w:pPr>
      <w:r w:rsidDel="00000000" w:rsidR="00000000" w:rsidRPr="00000000">
        <w:rPr>
          <w:b w:val="1"/>
          <w:rtl w:val="0"/>
        </w:rPr>
        <w:t xml:space="preserve">Advanced Threat Detection  </w:t>
      </w:r>
    </w:p>
    <w:p w:rsidR="00000000" w:rsidDel="00000000" w:rsidP="00000000" w:rsidRDefault="00000000" w:rsidRPr="00000000" w14:paraId="0000008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Correlate events from various data sources (network telemetry, device logs, anomaly detection) to identify lateral movement, insider threats, or targeted attacks.  </w:t>
      </w:r>
    </w:p>
    <w:p w:rsidR="00000000" w:rsidDel="00000000" w:rsidP="00000000" w:rsidRDefault="00000000" w:rsidRPr="00000000" w14:paraId="0000008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Real-time alerts for critical incidents affecting essential services covered by NIS2.</w:t>
      </w:r>
    </w:p>
    <w:p w:rsidR="00000000" w:rsidDel="00000000" w:rsidP="00000000" w:rsidRDefault="00000000" w:rsidRPr="00000000" w14:paraId="00000084">
      <w:pPr>
        <w:numPr>
          <w:ilvl w:val="0"/>
          <w:numId w:val="47"/>
        </w:numPr>
        <w:spacing w:after="0" w:before="200" w:lineRule="auto"/>
        <w:ind w:left="720" w:hanging="360"/>
        <w:rPr>
          <w:b w:val="1"/>
        </w:rPr>
      </w:pPr>
      <w:r w:rsidDel="00000000" w:rsidR="00000000" w:rsidRPr="00000000">
        <w:rPr>
          <w:b w:val="1"/>
          <w:rtl w:val="0"/>
        </w:rPr>
        <w:t xml:space="preserve">Automated or Guided Response  </w:t>
      </w:r>
    </w:p>
    <w:p w:rsidR="00000000" w:rsidDel="00000000" w:rsidP="00000000" w:rsidRDefault="00000000" w:rsidRPr="00000000" w14:paraId="00000085">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Provide playbooks for common incident types (ransomware, phishing, ICS compromise) to speed up containment and resolution.  </w:t>
      </w:r>
    </w:p>
    <w:p w:rsidR="00000000" w:rsidDel="00000000" w:rsidP="00000000" w:rsidRDefault="00000000" w:rsidRPr="00000000" w14:paraId="0000008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Option for one-click device isolation or network segmentation, limiting damage while preserving business continuity.</w:t>
      </w:r>
    </w:p>
    <w:p w:rsidR="00000000" w:rsidDel="00000000" w:rsidP="00000000" w:rsidRDefault="00000000" w:rsidRPr="00000000" w14:paraId="00000087">
      <w:pPr>
        <w:numPr>
          <w:ilvl w:val="0"/>
          <w:numId w:val="47"/>
        </w:numPr>
        <w:spacing w:after="0" w:before="200" w:lineRule="auto"/>
        <w:ind w:left="720" w:hanging="360"/>
        <w:rPr>
          <w:b w:val="1"/>
        </w:rPr>
      </w:pPr>
      <w:r w:rsidDel="00000000" w:rsidR="00000000" w:rsidRPr="00000000">
        <w:rPr>
          <w:b w:val="1"/>
          <w:rtl w:val="0"/>
        </w:rPr>
        <w:t xml:space="preserve">Recovery and Lessons Learned  </w:t>
      </w:r>
    </w:p>
    <w:p w:rsidR="00000000" w:rsidDel="00000000" w:rsidP="00000000" w:rsidRDefault="00000000" w:rsidRPr="00000000" w14:paraId="00000088">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Document post-incident forensics and root-cause analyses.  </w:t>
      </w:r>
    </w:p>
    <w:p w:rsidR="00000000" w:rsidDel="00000000" w:rsidP="00000000" w:rsidRDefault="00000000" w:rsidRPr="00000000" w14:paraId="0000008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Feed these learnings into risk management processes to prevent recurrence.</w:t>
      </w:r>
    </w:p>
    <w:p w:rsidR="00000000" w:rsidDel="00000000" w:rsidP="00000000" w:rsidRDefault="00000000" w:rsidRPr="00000000" w14:paraId="0000008A">
      <w:pPr>
        <w:pStyle w:val="Heading3"/>
        <w:rPr>
          <w:b w:val="1"/>
          <w:color w:val="000000"/>
          <w:sz w:val="26"/>
          <w:szCs w:val="26"/>
        </w:rPr>
      </w:pPr>
      <w:bookmarkStart w:colFirst="0" w:colLast="0" w:name="_mezs5ny288a1" w:id="14"/>
      <w:bookmarkEnd w:id="14"/>
      <w:r w:rsidDel="00000000" w:rsidR="00000000" w:rsidRPr="00000000">
        <w:rPr>
          <w:b w:val="1"/>
          <w:color w:val="000000"/>
          <w:sz w:val="26"/>
          <w:szCs w:val="26"/>
          <w:rtl w:val="0"/>
        </w:rPr>
        <w:t xml:space="preserve">3.4 Risk Assessment and Governance</w:t>
      </w:r>
    </w:p>
    <w:p w:rsidR="00000000" w:rsidDel="00000000" w:rsidP="00000000" w:rsidRDefault="00000000" w:rsidRPr="00000000" w14:paraId="0000008B">
      <w:pPr>
        <w:numPr>
          <w:ilvl w:val="0"/>
          <w:numId w:val="29"/>
        </w:numPr>
        <w:spacing w:before="200" w:lineRule="auto"/>
        <w:ind w:left="720" w:hanging="360"/>
        <w:rPr>
          <w:b w:val="1"/>
        </w:rPr>
      </w:pPr>
      <w:r w:rsidDel="00000000" w:rsidR="00000000" w:rsidRPr="00000000">
        <w:rPr>
          <w:b w:val="1"/>
          <w:rtl w:val="0"/>
        </w:rPr>
        <w:t xml:space="preserve">Contextual Risk Dashboard  </w:t>
      </w:r>
    </w:p>
    <w:p w:rsidR="00000000" w:rsidDel="00000000" w:rsidP="00000000" w:rsidRDefault="00000000" w:rsidRPr="00000000" w14:paraId="0000008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Unified view of organizational risk posture, mapping discovered vulnerabilities and threats to critical assets or business processes.  </w:t>
      </w:r>
    </w:p>
    <w:p w:rsidR="00000000" w:rsidDel="00000000" w:rsidP="00000000" w:rsidRDefault="00000000" w:rsidRPr="00000000" w14:paraId="0000008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Real-time or scheduled reports highlighting risk trends, regulatory gaps, and recommended mitigations.</w:t>
      </w:r>
    </w:p>
    <w:p w:rsidR="00000000" w:rsidDel="00000000" w:rsidP="00000000" w:rsidRDefault="00000000" w:rsidRPr="00000000" w14:paraId="0000008E">
      <w:pPr>
        <w:numPr>
          <w:ilvl w:val="0"/>
          <w:numId w:val="29"/>
        </w:numPr>
        <w:spacing w:after="0" w:before="200" w:lineRule="auto"/>
        <w:ind w:left="720" w:hanging="360"/>
        <w:rPr>
          <w:b w:val="1"/>
        </w:rPr>
      </w:pPr>
      <w:r w:rsidDel="00000000" w:rsidR="00000000" w:rsidRPr="00000000">
        <w:rPr>
          <w:b w:val="1"/>
          <w:rtl w:val="0"/>
        </w:rPr>
        <w:t xml:space="preserve">Policy and Control Framework  </w:t>
      </w:r>
    </w:p>
    <w:p w:rsidR="00000000" w:rsidDel="00000000" w:rsidP="00000000" w:rsidRDefault="00000000" w:rsidRPr="00000000" w14:paraId="0000008F">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Align with recognized standards (ISO 27001, IEC 62443 for ICS, NIST CSF) to demonstrate robust governance.  </w:t>
      </w:r>
    </w:p>
    <w:p w:rsidR="00000000" w:rsidDel="00000000" w:rsidP="00000000" w:rsidRDefault="00000000" w:rsidRPr="00000000" w14:paraId="0000009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or integrate with compliance modules tracking your alignment to NIS2 mandates.</w:t>
      </w:r>
    </w:p>
    <w:p w:rsidR="00000000" w:rsidDel="00000000" w:rsidP="00000000" w:rsidRDefault="00000000" w:rsidRPr="00000000" w14:paraId="00000091">
      <w:pPr>
        <w:numPr>
          <w:ilvl w:val="0"/>
          <w:numId w:val="29"/>
        </w:numPr>
        <w:spacing w:after="0" w:before="200" w:lineRule="auto"/>
        <w:ind w:left="720" w:hanging="360"/>
        <w:rPr>
          <w:b w:val="1"/>
        </w:rPr>
      </w:pPr>
      <w:r w:rsidDel="00000000" w:rsidR="00000000" w:rsidRPr="00000000">
        <w:rPr>
          <w:b w:val="1"/>
          <w:rtl w:val="0"/>
        </w:rPr>
        <w:t xml:space="preserve">Role-Based Access Control (RBAC)  </w:t>
      </w:r>
    </w:p>
    <w:p w:rsidR="00000000" w:rsidDel="00000000" w:rsidP="00000000" w:rsidRDefault="00000000" w:rsidRPr="00000000" w14:paraId="00000092">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Enforce least-privilege principles for system administrators, security operators, and compliance officers.  </w:t>
      </w:r>
    </w:p>
    <w:p w:rsidR="00000000" w:rsidDel="00000000" w:rsidP="00000000" w:rsidRDefault="00000000" w:rsidRPr="00000000" w14:paraId="0000009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Audit logs capturing changes to policies, configurations, or security settings.</w:t>
      </w:r>
    </w:p>
    <w:p w:rsidR="00000000" w:rsidDel="00000000" w:rsidP="00000000" w:rsidRDefault="00000000" w:rsidRPr="00000000" w14:paraId="00000094">
      <w:pPr>
        <w:pStyle w:val="Heading3"/>
        <w:rPr>
          <w:b w:val="1"/>
          <w:color w:val="000000"/>
          <w:sz w:val="26"/>
          <w:szCs w:val="26"/>
        </w:rPr>
      </w:pPr>
      <w:bookmarkStart w:colFirst="0" w:colLast="0" w:name="_e4rwsmjq59ez" w:id="15"/>
      <w:bookmarkEnd w:id="15"/>
      <w:r w:rsidDel="00000000" w:rsidR="00000000" w:rsidRPr="00000000">
        <w:rPr>
          <w:b w:val="1"/>
          <w:color w:val="000000"/>
          <w:sz w:val="26"/>
          <w:szCs w:val="26"/>
          <w:rtl w:val="0"/>
        </w:rPr>
        <w:t xml:space="preserve">3.5 Continuous Monitoring and Behavioral Analysis</w:t>
      </w:r>
    </w:p>
    <w:p w:rsidR="00000000" w:rsidDel="00000000" w:rsidP="00000000" w:rsidRDefault="00000000" w:rsidRPr="00000000" w14:paraId="00000095">
      <w:pPr>
        <w:numPr>
          <w:ilvl w:val="0"/>
          <w:numId w:val="33"/>
        </w:numPr>
        <w:spacing w:before="200" w:lineRule="auto"/>
        <w:ind w:left="720" w:hanging="360"/>
        <w:rPr>
          <w:b w:val="1"/>
        </w:rPr>
      </w:pPr>
      <w:r w:rsidDel="00000000" w:rsidR="00000000" w:rsidRPr="00000000">
        <w:rPr>
          <w:b w:val="1"/>
          <w:rtl w:val="0"/>
        </w:rPr>
        <w:t xml:space="preserve">Network Traffic and Communication Baselines  </w:t>
      </w:r>
    </w:p>
    <w:p w:rsidR="00000000" w:rsidDel="00000000" w:rsidP="00000000" w:rsidRDefault="00000000" w:rsidRPr="00000000" w14:paraId="0000009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Capture traffic patterns and protocol usage in OT/ICS environments, highlighting any unusual data flows or potential malicious infiltration.  </w:t>
      </w:r>
    </w:p>
    <w:p w:rsidR="00000000" w:rsidDel="00000000" w:rsidP="00000000" w:rsidRDefault="00000000" w:rsidRPr="00000000" w14:paraId="0000009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Time-series trend analysis for device usage, resource consumption, and network flows.</w:t>
      </w:r>
    </w:p>
    <w:p w:rsidR="00000000" w:rsidDel="00000000" w:rsidP="00000000" w:rsidRDefault="00000000" w:rsidRPr="00000000" w14:paraId="00000098">
      <w:pPr>
        <w:numPr>
          <w:ilvl w:val="0"/>
          <w:numId w:val="33"/>
        </w:numPr>
        <w:spacing w:after="0" w:before="200" w:lineRule="auto"/>
        <w:ind w:left="720" w:hanging="360"/>
        <w:rPr>
          <w:b w:val="1"/>
        </w:rPr>
      </w:pPr>
      <w:r w:rsidDel="00000000" w:rsidR="00000000" w:rsidRPr="00000000">
        <w:rPr>
          <w:b w:val="1"/>
          <w:rtl w:val="0"/>
        </w:rPr>
        <w:t xml:space="preserve">Machine Learning or Heuristics  </w:t>
      </w:r>
    </w:p>
    <w:p w:rsidR="00000000" w:rsidDel="00000000" w:rsidP="00000000" w:rsidRDefault="00000000" w:rsidRPr="00000000" w14:paraId="00000099">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Advanced analytics to detect subtle anomalies or unknown threats without requiring constant signature updates.  </w:t>
      </w:r>
    </w:p>
    <w:p w:rsidR="00000000" w:rsidDel="00000000" w:rsidP="00000000" w:rsidRDefault="00000000" w:rsidRPr="00000000" w14:paraId="0000009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correlation of multiple risk indicators (vulnerability exposure + suspicious traffic + abnormal device behavior).</w:t>
      </w:r>
    </w:p>
    <w:p w:rsidR="00000000" w:rsidDel="00000000" w:rsidP="00000000" w:rsidRDefault="00000000" w:rsidRPr="00000000" w14:paraId="0000009B">
      <w:pPr>
        <w:numPr>
          <w:ilvl w:val="0"/>
          <w:numId w:val="33"/>
        </w:numPr>
        <w:spacing w:after="0" w:before="200" w:lineRule="auto"/>
        <w:ind w:left="720" w:hanging="360"/>
        <w:rPr>
          <w:b w:val="1"/>
        </w:rPr>
      </w:pPr>
      <w:r w:rsidDel="00000000" w:rsidR="00000000" w:rsidRPr="00000000">
        <w:rPr>
          <w:b w:val="1"/>
          <w:rtl w:val="0"/>
        </w:rPr>
        <w:t xml:space="preserve">Integration with Threat Intelligence Feeds  </w:t>
      </w:r>
    </w:p>
    <w:p w:rsidR="00000000" w:rsidDel="00000000" w:rsidP="00000000" w:rsidRDefault="00000000" w:rsidRPr="00000000" w14:paraId="0000009C">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Ingest open-source, commercial, and industry-specific threat intelligence to identify active threat campaigns.  </w:t>
      </w:r>
    </w:p>
    <w:p w:rsidR="00000000" w:rsidDel="00000000" w:rsidP="00000000" w:rsidRDefault="00000000" w:rsidRPr="00000000" w14:paraId="0000009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Flag devices or segments at greater risk due to ongoing vulnerabilities or targeted exploits.</w:t>
      </w:r>
    </w:p>
    <w:p w:rsidR="00000000" w:rsidDel="00000000" w:rsidP="00000000" w:rsidRDefault="00000000" w:rsidRPr="00000000" w14:paraId="0000009E">
      <w:pPr>
        <w:pStyle w:val="Heading3"/>
        <w:rPr/>
      </w:pPr>
      <w:bookmarkStart w:colFirst="0" w:colLast="0" w:name="_xjarxpnka71i" w:id="16"/>
      <w:bookmarkEnd w:id="16"/>
      <w:r w:rsidDel="00000000" w:rsidR="00000000" w:rsidRPr="00000000">
        <w:rPr>
          <w:b w:val="1"/>
          <w:color w:val="000000"/>
          <w:sz w:val="26"/>
          <w:szCs w:val="26"/>
          <w:rtl w:val="0"/>
        </w:rPr>
        <w:t xml:space="preserve">3.6 Integration with Existing Security Ecosystems</w:t>
      </w:r>
      <w:r w:rsidDel="00000000" w:rsidR="00000000" w:rsidRPr="00000000">
        <w:rPr>
          <w:rtl w:val="0"/>
        </w:rPr>
      </w:r>
    </w:p>
    <w:p w:rsidR="00000000" w:rsidDel="00000000" w:rsidP="00000000" w:rsidRDefault="00000000" w:rsidRPr="00000000" w14:paraId="0000009F">
      <w:pPr>
        <w:numPr>
          <w:ilvl w:val="0"/>
          <w:numId w:val="17"/>
        </w:numPr>
        <w:spacing w:before="200" w:lineRule="auto"/>
        <w:ind w:left="720" w:hanging="360"/>
        <w:rPr>
          <w:b w:val="1"/>
        </w:rPr>
      </w:pPr>
      <w:r w:rsidDel="00000000" w:rsidR="00000000" w:rsidRPr="00000000">
        <w:rPr>
          <w:b w:val="1"/>
          <w:rtl w:val="0"/>
        </w:rPr>
        <w:t xml:space="preserve">SIEM, SOAR, ITSM Compatibility  </w:t>
      </w:r>
    </w:p>
    <w:p w:rsidR="00000000" w:rsidDel="00000000" w:rsidP="00000000" w:rsidRDefault="00000000" w:rsidRPr="00000000" w14:paraId="000000A0">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Support well-documented APIs, connectors, or webhooks for seamless data exchange with existing systems (e.g., Splunk, ServiceNow, etc.).  </w:t>
      </w:r>
    </w:p>
    <w:p w:rsidR="00000000" w:rsidDel="00000000" w:rsidP="00000000" w:rsidRDefault="00000000" w:rsidRPr="00000000" w14:paraId="000000A1">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ticket creation for discovered vulnerabilities or security incidents.</w:t>
      </w:r>
    </w:p>
    <w:p w:rsidR="00000000" w:rsidDel="00000000" w:rsidP="00000000" w:rsidRDefault="00000000" w:rsidRPr="00000000" w14:paraId="000000A2">
      <w:pPr>
        <w:numPr>
          <w:ilvl w:val="0"/>
          <w:numId w:val="17"/>
        </w:numPr>
        <w:spacing w:after="0" w:before="200" w:lineRule="auto"/>
        <w:ind w:left="720" w:hanging="360"/>
        <w:rPr>
          <w:b w:val="1"/>
        </w:rPr>
      </w:pPr>
      <w:r w:rsidDel="00000000" w:rsidR="00000000" w:rsidRPr="00000000">
        <w:rPr>
          <w:b w:val="1"/>
          <w:rtl w:val="0"/>
        </w:rPr>
        <w:t xml:space="preserve">Identity and Access Management (IAM)  </w:t>
      </w:r>
    </w:p>
    <w:p w:rsidR="00000000" w:rsidDel="00000000" w:rsidP="00000000" w:rsidRDefault="00000000" w:rsidRPr="00000000" w14:paraId="000000A3">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Integrate with MFA/SSO solutions, ensuring secure and auditable authentication for the platform.  </w:t>
      </w:r>
    </w:p>
    <w:p w:rsidR="00000000" w:rsidDel="00000000" w:rsidP="00000000" w:rsidRDefault="00000000" w:rsidRPr="00000000" w14:paraId="000000A4">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Provide device context to identity governance workflows (e.g., unauthorized user device connections).</w:t>
      </w:r>
    </w:p>
    <w:p w:rsidR="00000000" w:rsidDel="00000000" w:rsidP="00000000" w:rsidRDefault="00000000" w:rsidRPr="00000000" w14:paraId="000000A5">
      <w:pPr>
        <w:numPr>
          <w:ilvl w:val="0"/>
          <w:numId w:val="17"/>
        </w:numPr>
        <w:spacing w:after="0" w:before="200" w:lineRule="auto"/>
        <w:ind w:left="720" w:hanging="360"/>
        <w:rPr>
          <w:b w:val="1"/>
        </w:rPr>
      </w:pPr>
      <w:r w:rsidDel="00000000" w:rsidR="00000000" w:rsidRPr="00000000">
        <w:rPr>
          <w:b w:val="1"/>
          <w:rtl w:val="0"/>
        </w:rPr>
        <w:t xml:space="preserve">Enterprise Scalability  </w:t>
      </w:r>
    </w:p>
    <w:p w:rsidR="00000000" w:rsidDel="00000000" w:rsidP="00000000" w:rsidRDefault="00000000" w:rsidRPr="00000000" w14:paraId="000000A6">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Architecture that supports high volumes of devices, data, and event throughput without performance degradation.  </w:t>
      </w:r>
    </w:p>
    <w:p w:rsidR="00000000" w:rsidDel="00000000" w:rsidP="00000000" w:rsidRDefault="00000000" w:rsidRPr="00000000" w14:paraId="000000A7">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Ability</w:t>
      </w:r>
      <w:r w:rsidDel="00000000" w:rsidR="00000000" w:rsidRPr="00000000">
        <w:rPr>
          <w:rtl w:val="0"/>
        </w:rPr>
        <w:t xml:space="preserve"> to expand coverage (add</w:t>
      </w:r>
      <w:r w:rsidDel="00000000" w:rsidR="00000000" w:rsidRPr="00000000">
        <w:rPr>
          <w:rtl w:val="0"/>
        </w:rPr>
        <w:t xml:space="preserve">itional sites, new lines of business) without re-deployment or major architectural changes.</w:t>
      </w:r>
    </w:p>
    <w:p w:rsidR="00000000" w:rsidDel="00000000" w:rsidP="00000000" w:rsidRDefault="00000000" w:rsidRPr="00000000" w14:paraId="000000A8">
      <w:pPr>
        <w:pStyle w:val="Heading3"/>
        <w:rPr/>
      </w:pPr>
      <w:bookmarkStart w:colFirst="0" w:colLast="0" w:name="_tu5i0olzsidw" w:id="17"/>
      <w:bookmarkEnd w:id="17"/>
      <w:r w:rsidDel="00000000" w:rsidR="00000000" w:rsidRPr="00000000">
        <w:rPr>
          <w:b w:val="1"/>
          <w:color w:val="000000"/>
          <w:sz w:val="26"/>
          <w:szCs w:val="26"/>
          <w:rtl w:val="0"/>
        </w:rPr>
        <w:t xml:space="preserve">3.7 Reporting, Audit, and Regulatory Compliance</w:t>
      </w:r>
      <w:r w:rsidDel="00000000" w:rsidR="00000000" w:rsidRPr="00000000">
        <w:rPr>
          <w:rtl w:val="0"/>
        </w:rPr>
      </w:r>
    </w:p>
    <w:p w:rsidR="00000000" w:rsidDel="00000000" w:rsidP="00000000" w:rsidRDefault="00000000" w:rsidRPr="00000000" w14:paraId="000000A9">
      <w:pPr>
        <w:numPr>
          <w:ilvl w:val="0"/>
          <w:numId w:val="26"/>
        </w:numPr>
        <w:spacing w:before="200" w:lineRule="auto"/>
        <w:ind w:left="720" w:hanging="360"/>
        <w:rPr>
          <w:b w:val="1"/>
        </w:rPr>
      </w:pPr>
      <w:r w:rsidDel="00000000" w:rsidR="00000000" w:rsidRPr="00000000">
        <w:rPr>
          <w:b w:val="1"/>
          <w:rtl w:val="0"/>
        </w:rPr>
        <w:t xml:space="preserve">NIS2-Focused Reports  </w:t>
      </w:r>
    </w:p>
    <w:p w:rsidR="00000000" w:rsidDel="00000000" w:rsidP="00000000" w:rsidRDefault="00000000" w:rsidRPr="00000000" w14:paraId="000000A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Pre-built dashboards or templates mapping solution capabilities to NIS2 articles and relevant national implementing laws.  </w:t>
      </w:r>
    </w:p>
    <w:p w:rsidR="00000000" w:rsidDel="00000000" w:rsidP="00000000" w:rsidRDefault="00000000" w:rsidRPr="00000000" w14:paraId="000000A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Automated generation of security status updates and incident logs for submission to authorities within mandated timelines.</w:t>
      </w:r>
    </w:p>
    <w:p w:rsidR="00000000" w:rsidDel="00000000" w:rsidP="00000000" w:rsidRDefault="00000000" w:rsidRPr="00000000" w14:paraId="000000AC">
      <w:pPr>
        <w:numPr>
          <w:ilvl w:val="0"/>
          <w:numId w:val="26"/>
        </w:numPr>
        <w:spacing w:after="0" w:before="200" w:lineRule="auto"/>
        <w:ind w:left="720" w:hanging="360"/>
        <w:rPr>
          <w:b w:val="1"/>
        </w:rPr>
      </w:pPr>
      <w:r w:rsidDel="00000000" w:rsidR="00000000" w:rsidRPr="00000000">
        <w:rPr>
          <w:b w:val="1"/>
          <w:rtl w:val="0"/>
        </w:rPr>
        <w:t xml:space="preserve">Executive Summaries and Technical Detail  </w:t>
      </w:r>
    </w:p>
    <w:p w:rsidR="00000000" w:rsidDel="00000000" w:rsidP="00000000" w:rsidRDefault="00000000" w:rsidRPr="00000000" w14:paraId="000000AD">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Tiered reporting supporting both high-level executive overviews (key KPIs, risk posture) and granular technical detail (device-level vulnerabilities, patch progress).  </w:t>
      </w:r>
    </w:p>
    <w:p w:rsidR="00000000" w:rsidDel="00000000" w:rsidP="00000000" w:rsidRDefault="00000000" w:rsidRPr="00000000" w14:paraId="000000AE">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Archive or export functionality for audit trails.</w:t>
      </w:r>
    </w:p>
    <w:p w:rsidR="00000000" w:rsidDel="00000000" w:rsidP="00000000" w:rsidRDefault="00000000" w:rsidRPr="00000000" w14:paraId="000000AF">
      <w:pPr>
        <w:numPr>
          <w:ilvl w:val="0"/>
          <w:numId w:val="26"/>
        </w:numPr>
        <w:spacing w:after="0" w:before="200" w:lineRule="auto"/>
        <w:ind w:left="720" w:hanging="360"/>
        <w:rPr>
          <w:b w:val="1"/>
        </w:rPr>
      </w:pPr>
      <w:r w:rsidDel="00000000" w:rsidR="00000000" w:rsidRPr="00000000">
        <w:rPr>
          <w:b w:val="1"/>
          <w:rtl w:val="0"/>
        </w:rPr>
        <w:t xml:space="preserve">Incident Reporting and Forensic Logs </w:t>
      </w:r>
      <w:r w:rsidDel="00000000" w:rsidR="00000000" w:rsidRPr="00000000">
        <w:rPr>
          <w:rtl w:val="0"/>
        </w:rPr>
        <w:t xml:space="preserve"> </w:t>
      </w:r>
    </w:p>
    <w:p w:rsidR="00000000" w:rsidDel="00000000" w:rsidP="00000000" w:rsidRDefault="00000000" w:rsidRPr="00000000" w14:paraId="000000B0">
      <w:pPr>
        <w:numPr>
          <w:ilvl w:val="0"/>
          <w:numId w:val="44"/>
        </w:numPr>
        <w:spacing w:after="0" w:before="200" w:lineRule="auto"/>
        <w:ind w:left="1440" w:hanging="360"/>
        <w:rPr>
          <w:u w:val="none"/>
        </w:rPr>
      </w:pPr>
      <w:r w:rsidDel="00000000" w:rsidR="00000000" w:rsidRPr="00000000">
        <w:rPr>
          <w:rtl w:val="0"/>
        </w:rPr>
        <w:t xml:space="preserve">Comprehensive, tamper-resistant logging of events, changes, user actions, and device states.  </w:t>
      </w:r>
    </w:p>
    <w:p w:rsidR="00000000" w:rsidDel="00000000" w:rsidP="00000000" w:rsidRDefault="00000000" w:rsidRPr="00000000" w14:paraId="000000B1">
      <w:pPr>
        <w:numPr>
          <w:ilvl w:val="0"/>
          <w:numId w:val="44"/>
        </w:numPr>
        <w:ind w:left="1440" w:hanging="360"/>
        <w:rPr>
          <w:u w:val="none"/>
        </w:rPr>
      </w:pPr>
      <w:r w:rsidDel="00000000" w:rsidR="00000000" w:rsidRPr="00000000">
        <w:rPr>
          <w:rtl w:val="0"/>
        </w:rPr>
        <w:t xml:space="preserve">Customizable retention policies to meet or exceed NIS2 data retention requirements.</w:t>
      </w:r>
    </w:p>
    <w:p w:rsidR="00000000" w:rsidDel="00000000" w:rsidP="00000000" w:rsidRDefault="00000000" w:rsidRPr="00000000" w14:paraId="000000B2">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3">
      <w:pPr>
        <w:pStyle w:val="Heading2"/>
        <w:spacing w:after="0" w:before="200" w:lineRule="auto"/>
        <w:rPr>
          <w:b w:val="1"/>
          <w:sz w:val="34"/>
          <w:szCs w:val="34"/>
        </w:rPr>
      </w:pPr>
      <w:bookmarkStart w:colFirst="0" w:colLast="0" w:name="_2cp4afo0br8i" w:id="18"/>
      <w:bookmarkEnd w:id="18"/>
      <w:r w:rsidDel="00000000" w:rsidR="00000000" w:rsidRPr="00000000">
        <w:rPr>
          <w:b w:val="1"/>
          <w:sz w:val="34"/>
          <w:szCs w:val="34"/>
          <w:rtl w:val="0"/>
        </w:rPr>
        <w:t xml:space="preserve">4. Implementation Approach and Project Delivery</w:t>
      </w:r>
    </w:p>
    <w:p w:rsidR="00000000" w:rsidDel="00000000" w:rsidP="00000000" w:rsidRDefault="00000000" w:rsidRPr="00000000" w14:paraId="000000B4">
      <w:pPr>
        <w:pStyle w:val="Heading3"/>
        <w:rPr>
          <w:b w:val="1"/>
          <w:color w:val="000000"/>
          <w:sz w:val="26"/>
          <w:szCs w:val="26"/>
        </w:rPr>
      </w:pPr>
      <w:bookmarkStart w:colFirst="0" w:colLast="0" w:name="_h5lgatfu2aud" w:id="19"/>
      <w:bookmarkEnd w:id="19"/>
      <w:r w:rsidDel="00000000" w:rsidR="00000000" w:rsidRPr="00000000">
        <w:rPr>
          <w:b w:val="1"/>
          <w:color w:val="000000"/>
          <w:sz w:val="26"/>
          <w:szCs w:val="26"/>
          <w:rtl w:val="0"/>
        </w:rPr>
        <w:t xml:space="preserve">4.1 Deployment Models (On-Prem, Cloud, Hybrid)</w:t>
      </w:r>
    </w:p>
    <w:p w:rsidR="00000000" w:rsidDel="00000000" w:rsidP="00000000" w:rsidRDefault="00000000" w:rsidRPr="00000000" w14:paraId="000000B5">
      <w:pPr>
        <w:numPr>
          <w:ilvl w:val="0"/>
          <w:numId w:val="11"/>
        </w:numPr>
        <w:spacing w:before="200" w:lineRule="auto"/>
        <w:ind w:left="720" w:hanging="360"/>
        <w:rPr>
          <w:u w:val="none"/>
        </w:rPr>
      </w:pPr>
      <w:r w:rsidDel="00000000" w:rsidR="00000000" w:rsidRPr="00000000">
        <w:rPr>
          <w:b w:val="1"/>
          <w:rtl w:val="0"/>
        </w:rPr>
        <w:t xml:space="preserve">Cloud-Hosted SaaS: </w:t>
      </w:r>
      <w:r w:rsidDel="00000000" w:rsidR="00000000" w:rsidRPr="00000000">
        <w:rPr>
          <w:rtl w:val="0"/>
        </w:rPr>
        <w:t xml:space="preserve">Provide secure, compliant hosting (EU data residency if needed).  </w:t>
      </w:r>
      <w:r w:rsidDel="00000000" w:rsidR="00000000" w:rsidRPr="00000000">
        <w:rPr>
          <w:b w:val="1"/>
          <w:rtl w:val="0"/>
        </w:rPr>
        <w:t xml:space="preserve">On-Premises Appliance:</w:t>
      </w:r>
      <w:r w:rsidDel="00000000" w:rsidR="00000000" w:rsidRPr="00000000">
        <w:rPr>
          <w:rtl w:val="0"/>
        </w:rPr>
        <w:t xml:space="preserve"> Physical or virtual appliances for air-gapped or highly sensitive OT environments.  </w:t>
      </w:r>
    </w:p>
    <w:p w:rsidR="00000000" w:rsidDel="00000000" w:rsidP="00000000" w:rsidRDefault="00000000" w:rsidRPr="00000000" w14:paraId="000000B6">
      <w:pPr>
        <w:numPr>
          <w:ilvl w:val="0"/>
          <w:numId w:val="11"/>
        </w:numPr>
        <w:ind w:left="720" w:hanging="360"/>
        <w:rPr>
          <w:u w:val="none"/>
        </w:rPr>
      </w:pPr>
      <w:r w:rsidDel="00000000" w:rsidR="00000000" w:rsidRPr="00000000">
        <w:rPr>
          <w:b w:val="1"/>
          <w:rtl w:val="0"/>
        </w:rPr>
        <w:t xml:space="preserve">Hybrid Integration: </w:t>
      </w:r>
      <w:r w:rsidDel="00000000" w:rsidR="00000000" w:rsidRPr="00000000">
        <w:rPr>
          <w:rtl w:val="0"/>
        </w:rPr>
        <w:t xml:space="preserve">Detailed approach for bridging multiple deployment models, ensuring consistent policy enforcement and data visibility.</w:t>
      </w:r>
    </w:p>
    <w:p w:rsidR="00000000" w:rsidDel="00000000" w:rsidP="00000000" w:rsidRDefault="00000000" w:rsidRPr="00000000" w14:paraId="000000B7">
      <w:pPr>
        <w:pStyle w:val="Heading3"/>
        <w:rPr/>
      </w:pPr>
      <w:bookmarkStart w:colFirst="0" w:colLast="0" w:name="_j6xa2z61lelh" w:id="20"/>
      <w:bookmarkEnd w:id="20"/>
      <w:r w:rsidDel="00000000" w:rsidR="00000000" w:rsidRPr="00000000">
        <w:rPr>
          <w:b w:val="1"/>
          <w:color w:val="000000"/>
          <w:sz w:val="26"/>
          <w:szCs w:val="26"/>
          <w:rtl w:val="0"/>
        </w:rPr>
        <w:t xml:space="preserve">4.2 Project Methodology and Phased Rollout</w:t>
      </w:r>
      <w:r w:rsidDel="00000000" w:rsidR="00000000" w:rsidRPr="00000000">
        <w:rPr>
          <w:rtl w:val="0"/>
        </w:rPr>
      </w:r>
    </w:p>
    <w:p w:rsidR="00000000" w:rsidDel="00000000" w:rsidP="00000000" w:rsidRDefault="00000000" w:rsidRPr="00000000" w14:paraId="000000B8">
      <w:pPr>
        <w:numPr>
          <w:ilvl w:val="0"/>
          <w:numId w:val="23"/>
        </w:numPr>
        <w:spacing w:before="200" w:lineRule="auto"/>
        <w:ind w:left="720" w:hanging="360"/>
        <w:rPr>
          <w:b w:val="1"/>
        </w:rPr>
      </w:pPr>
      <w:r w:rsidDel="00000000" w:rsidR="00000000" w:rsidRPr="00000000">
        <w:rPr>
          <w:b w:val="1"/>
          <w:rtl w:val="0"/>
        </w:rPr>
        <w:t xml:space="preserve">Planning and Gap Analysis  </w:t>
      </w:r>
    </w:p>
    <w:p w:rsidR="00000000" w:rsidDel="00000000" w:rsidP="00000000" w:rsidRDefault="00000000" w:rsidRPr="00000000" w14:paraId="000000B9">
      <w:pPr>
        <w:numPr>
          <w:ilvl w:val="1"/>
          <w:numId w:val="50"/>
        </w:numPr>
        <w:spacing w:after="0" w:before="200" w:lineRule="auto"/>
        <w:ind w:left="1440" w:hanging="360"/>
        <w:rPr>
          <w:u w:val="none"/>
        </w:rPr>
      </w:pPr>
      <w:r w:rsidDel="00000000" w:rsidR="00000000" w:rsidRPr="00000000">
        <w:rPr>
          <w:rtl w:val="0"/>
        </w:rPr>
        <w:t xml:space="preserve">Vendor-led discovery to map existing security posture, identify coverage gaps, and build a rollout roadmap.  </w:t>
      </w:r>
    </w:p>
    <w:p w:rsidR="00000000" w:rsidDel="00000000" w:rsidP="00000000" w:rsidRDefault="00000000" w:rsidRPr="00000000" w14:paraId="000000BA">
      <w:pPr>
        <w:numPr>
          <w:ilvl w:val="1"/>
          <w:numId w:val="50"/>
        </w:numPr>
        <w:ind w:left="1440" w:hanging="360"/>
        <w:rPr>
          <w:u w:val="none"/>
        </w:rPr>
      </w:pPr>
      <w:r w:rsidDel="00000000" w:rsidR="00000000" w:rsidRPr="00000000">
        <w:rPr>
          <w:rtl w:val="0"/>
        </w:rPr>
        <w:t xml:space="preserve">Deliverables: Gap Analysis Report, Implementation Blueprint.</w:t>
      </w:r>
    </w:p>
    <w:p w:rsidR="00000000" w:rsidDel="00000000" w:rsidP="00000000" w:rsidRDefault="00000000" w:rsidRPr="00000000" w14:paraId="000000BB">
      <w:pPr>
        <w:numPr>
          <w:ilvl w:val="0"/>
          <w:numId w:val="23"/>
        </w:numPr>
        <w:spacing w:after="0" w:before="200" w:lineRule="auto"/>
        <w:ind w:left="720" w:hanging="360"/>
        <w:rPr>
          <w:b w:val="1"/>
        </w:rPr>
      </w:pPr>
      <w:r w:rsidDel="00000000" w:rsidR="00000000" w:rsidRPr="00000000">
        <w:rPr>
          <w:b w:val="1"/>
          <w:rtl w:val="0"/>
        </w:rPr>
        <w:t xml:space="preserve">Pilot Deployment  </w:t>
      </w:r>
    </w:p>
    <w:p w:rsidR="00000000" w:rsidDel="00000000" w:rsidP="00000000" w:rsidRDefault="00000000" w:rsidRPr="00000000" w14:paraId="000000BC">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Limited scope pilot in a select environment or subset of networks to validate performance, integration, and feasibility.  </w:t>
      </w:r>
    </w:p>
    <w:p w:rsidR="00000000" w:rsidDel="00000000" w:rsidP="00000000" w:rsidRDefault="00000000" w:rsidRPr="00000000" w14:paraId="000000BD">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Pilot Results, Lesson Learned Document.</w:t>
      </w:r>
    </w:p>
    <w:p w:rsidR="00000000" w:rsidDel="00000000" w:rsidP="00000000" w:rsidRDefault="00000000" w:rsidRPr="00000000" w14:paraId="000000BE">
      <w:pPr>
        <w:numPr>
          <w:ilvl w:val="0"/>
          <w:numId w:val="23"/>
        </w:numPr>
        <w:spacing w:after="0" w:before="200" w:lineRule="auto"/>
        <w:ind w:left="720" w:hanging="360"/>
        <w:rPr>
          <w:u w:val="none"/>
        </w:rPr>
      </w:pPr>
      <w:r w:rsidDel="00000000" w:rsidR="00000000" w:rsidRPr="00000000">
        <w:rPr>
          <w:b w:val="1"/>
          <w:rtl w:val="0"/>
        </w:rPr>
        <w:t xml:space="preserve">Full Production Rollout </w:t>
      </w:r>
      <w:r w:rsidDel="00000000" w:rsidR="00000000" w:rsidRPr="00000000">
        <w:rPr>
          <w:rtl w:val="0"/>
        </w:rPr>
        <w:t xml:space="preserve"> </w:t>
      </w:r>
    </w:p>
    <w:p w:rsidR="00000000" w:rsidDel="00000000" w:rsidP="00000000" w:rsidRDefault="00000000" w:rsidRPr="00000000" w14:paraId="000000BF">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Deploy solution across enterprise networks, ensuring minimal business disruption.  </w:t>
      </w:r>
    </w:p>
    <w:p w:rsidR="00000000" w:rsidDel="00000000" w:rsidP="00000000" w:rsidRDefault="00000000" w:rsidRPr="00000000" w14:paraId="000000C0">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Configuration Documentation, Go-Live Sign-Off.</w:t>
      </w:r>
    </w:p>
    <w:p w:rsidR="00000000" w:rsidDel="00000000" w:rsidP="00000000" w:rsidRDefault="00000000" w:rsidRPr="00000000" w14:paraId="000000C1">
      <w:pPr>
        <w:numPr>
          <w:ilvl w:val="0"/>
          <w:numId w:val="23"/>
        </w:numPr>
        <w:spacing w:after="0" w:before="200" w:lineRule="auto"/>
        <w:ind w:left="720" w:hanging="360"/>
        <w:rPr>
          <w:b w:val="1"/>
        </w:rPr>
      </w:pPr>
      <w:r w:rsidDel="00000000" w:rsidR="00000000" w:rsidRPr="00000000">
        <w:rPr>
          <w:b w:val="1"/>
          <w:rtl w:val="0"/>
        </w:rPr>
        <w:t xml:space="preserve">Optimization and Maturity  </w:t>
      </w:r>
    </w:p>
    <w:p w:rsidR="00000000" w:rsidDel="00000000" w:rsidP="00000000" w:rsidRDefault="00000000" w:rsidRPr="00000000" w14:paraId="000000C2">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Post-deployment adjustments, performance tuning, user training, and final acceptance testing.  </w:t>
      </w:r>
    </w:p>
    <w:p w:rsidR="00000000" w:rsidDel="00000000" w:rsidP="00000000" w:rsidRDefault="00000000" w:rsidRPr="00000000" w14:paraId="000000C3">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Deliverables: Final Project Report, Future Enhancement Roadmap.</w:t>
      </w:r>
    </w:p>
    <w:p w:rsidR="00000000" w:rsidDel="00000000" w:rsidP="00000000" w:rsidRDefault="00000000" w:rsidRPr="00000000" w14:paraId="000000C4">
      <w:pPr>
        <w:pStyle w:val="Heading3"/>
        <w:rPr/>
      </w:pPr>
      <w:bookmarkStart w:colFirst="0" w:colLast="0" w:name="_1eskf0hzuqfo" w:id="21"/>
      <w:bookmarkEnd w:id="21"/>
      <w:r w:rsidDel="00000000" w:rsidR="00000000" w:rsidRPr="00000000">
        <w:rPr>
          <w:b w:val="1"/>
          <w:color w:val="000000"/>
          <w:sz w:val="26"/>
          <w:szCs w:val="26"/>
          <w:rtl w:val="0"/>
        </w:rPr>
        <w:t xml:space="preserve">4.3 Change Management, Training, and Stakeholder Engagement</w:t>
      </w:r>
      <w:r w:rsidDel="00000000" w:rsidR="00000000" w:rsidRPr="00000000">
        <w:rPr>
          <w:rtl w:val="0"/>
        </w:rPr>
      </w:r>
    </w:p>
    <w:p w:rsidR="00000000" w:rsidDel="00000000" w:rsidP="00000000" w:rsidRDefault="00000000" w:rsidRPr="00000000" w14:paraId="000000C5">
      <w:pPr>
        <w:numPr>
          <w:ilvl w:val="0"/>
          <w:numId w:val="13"/>
        </w:numPr>
        <w:spacing w:before="200" w:lineRule="auto"/>
        <w:ind w:left="720" w:hanging="360"/>
        <w:rPr>
          <w:b w:val="1"/>
        </w:rPr>
      </w:pPr>
      <w:r w:rsidDel="00000000" w:rsidR="00000000" w:rsidRPr="00000000">
        <w:rPr>
          <w:b w:val="1"/>
          <w:rtl w:val="0"/>
        </w:rPr>
        <w:t xml:space="preserve">Training Materials  </w:t>
      </w:r>
    </w:p>
    <w:p w:rsidR="00000000" w:rsidDel="00000000" w:rsidP="00000000" w:rsidRDefault="00000000" w:rsidRPr="00000000" w14:paraId="000000C6">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In-depth technical training for security operators, network admins, and relevant OT engineers.  </w:t>
      </w:r>
    </w:p>
    <w:p w:rsidR="00000000" w:rsidDel="00000000" w:rsidP="00000000" w:rsidRDefault="00000000" w:rsidRPr="00000000" w14:paraId="000000C7">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Role-specific user guides covering daily tasks, incident triage steps, and advanced configuration.</w:t>
      </w:r>
    </w:p>
    <w:p w:rsidR="00000000" w:rsidDel="00000000" w:rsidP="00000000" w:rsidRDefault="00000000" w:rsidRPr="00000000" w14:paraId="000000C8">
      <w:pPr>
        <w:numPr>
          <w:ilvl w:val="0"/>
          <w:numId w:val="13"/>
        </w:numPr>
        <w:spacing w:after="0" w:before="200" w:lineRule="auto"/>
        <w:ind w:left="720" w:hanging="360"/>
        <w:rPr>
          <w:u w:val="none"/>
        </w:rPr>
      </w:pPr>
      <w:r w:rsidDel="00000000" w:rsidR="00000000" w:rsidRPr="00000000">
        <w:rPr>
          <w:b w:val="1"/>
          <w:rtl w:val="0"/>
        </w:rPr>
        <w:t xml:space="preserve">Executive and Non-Technical Briefings  </w:t>
      </w:r>
    </w:p>
    <w:p w:rsidR="00000000" w:rsidDel="00000000" w:rsidP="00000000" w:rsidRDefault="00000000" w:rsidRPr="00000000" w14:paraId="000000C9">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High-level sessions to drive awareness and sponsor buy-in from leadership.  </w:t>
      </w:r>
    </w:p>
    <w:p w:rsidR="00000000" w:rsidDel="00000000" w:rsidP="00000000" w:rsidRDefault="00000000" w:rsidRPr="00000000" w14:paraId="000000CA">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Emphasis on how the new platform supports NIS2 compliance and risk reduction.</w:t>
      </w:r>
    </w:p>
    <w:p w:rsidR="00000000" w:rsidDel="00000000" w:rsidP="00000000" w:rsidRDefault="00000000" w:rsidRPr="00000000" w14:paraId="000000CB">
      <w:pPr>
        <w:numPr>
          <w:ilvl w:val="0"/>
          <w:numId w:val="13"/>
        </w:numPr>
        <w:spacing w:after="0" w:before="200" w:lineRule="auto"/>
        <w:ind w:left="720" w:hanging="360"/>
        <w:rPr>
          <w:b w:val="1"/>
        </w:rPr>
      </w:pPr>
      <w:r w:rsidDel="00000000" w:rsidR="00000000" w:rsidRPr="00000000">
        <w:rPr>
          <w:b w:val="1"/>
          <w:rtl w:val="0"/>
        </w:rPr>
        <w:t xml:space="preserve">Stakeholder Communication Plan  </w:t>
      </w:r>
    </w:p>
    <w:p w:rsidR="00000000" w:rsidDel="00000000" w:rsidP="00000000" w:rsidRDefault="00000000" w:rsidRPr="00000000" w14:paraId="000000CC">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Regular project status updates, cross-functional steering committees, and escalation paths for issues.  </w:t>
      </w:r>
    </w:p>
    <w:p w:rsidR="00000000" w:rsidDel="00000000" w:rsidP="00000000" w:rsidRDefault="00000000" w:rsidRPr="00000000" w14:paraId="000000CD">
      <w:pPr>
        <w:keepNext w:val="0"/>
        <w:keepLines w:val="0"/>
        <w:pageBreakBefore w:val="0"/>
        <w:widowControl w:val="1"/>
        <w:numPr>
          <w:ilvl w:val="1"/>
          <w:numId w:val="50"/>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Communication tools (email digests, Slack/Teams channels) to keep everyone aligned on progress.</w:t>
      </w:r>
    </w:p>
    <w:p w:rsidR="00000000" w:rsidDel="00000000" w:rsidP="00000000" w:rsidRDefault="00000000" w:rsidRPr="00000000" w14:paraId="000000CE">
      <w:pPr>
        <w:pStyle w:val="Heading3"/>
        <w:rPr>
          <w:b w:val="1"/>
          <w:color w:val="000000"/>
          <w:sz w:val="26"/>
          <w:szCs w:val="26"/>
        </w:rPr>
      </w:pPr>
      <w:bookmarkStart w:colFirst="0" w:colLast="0" w:name="_tx54ffotda8o" w:id="22"/>
      <w:bookmarkEnd w:id="22"/>
      <w:r w:rsidDel="00000000" w:rsidR="00000000" w:rsidRPr="00000000">
        <w:rPr>
          <w:b w:val="1"/>
          <w:color w:val="000000"/>
          <w:sz w:val="26"/>
          <w:szCs w:val="26"/>
          <w:rtl w:val="0"/>
        </w:rPr>
        <w:t xml:space="preserve">4.4 Risk Management and Contingency Planning</w:t>
      </w:r>
    </w:p>
    <w:p w:rsidR="00000000" w:rsidDel="00000000" w:rsidP="00000000" w:rsidRDefault="00000000" w:rsidRPr="00000000" w14:paraId="000000CF">
      <w:pPr>
        <w:numPr>
          <w:ilvl w:val="0"/>
          <w:numId w:val="42"/>
        </w:numPr>
        <w:spacing w:before="200" w:lineRule="auto"/>
        <w:ind w:left="720" w:hanging="360"/>
        <w:rPr>
          <w:b w:val="1"/>
        </w:rPr>
      </w:pPr>
      <w:r w:rsidDel="00000000" w:rsidR="00000000" w:rsidRPr="00000000">
        <w:rPr>
          <w:b w:val="1"/>
          <w:rtl w:val="0"/>
        </w:rPr>
        <w:t xml:space="preserve">I</w:t>
      </w:r>
      <w:r w:rsidDel="00000000" w:rsidR="00000000" w:rsidRPr="00000000">
        <w:rPr>
          <w:b w:val="1"/>
          <w:rtl w:val="0"/>
        </w:rPr>
        <w:t xml:space="preserve">dentified Risks  </w:t>
      </w:r>
    </w:p>
    <w:p w:rsidR="00000000" w:rsidDel="00000000" w:rsidP="00000000" w:rsidRDefault="00000000" w:rsidRPr="00000000" w14:paraId="000000D0">
      <w:pPr>
        <w:numPr>
          <w:ilvl w:val="0"/>
          <w:numId w:val="25"/>
        </w:numPr>
        <w:spacing w:after="0" w:before="200" w:lineRule="auto"/>
        <w:ind w:left="1440" w:hanging="360"/>
        <w:rPr>
          <w:u w:val="none"/>
        </w:rPr>
      </w:pPr>
      <w:r w:rsidDel="00000000" w:rsidR="00000000" w:rsidRPr="00000000">
        <w:rPr>
          <w:rtl w:val="0"/>
        </w:rPr>
        <w:t xml:space="preserve">Potential challenges like legacy device incompatibilities, limited in-house expertise, or organizational silos.  </w:t>
      </w:r>
    </w:p>
    <w:p w:rsidR="00000000" w:rsidDel="00000000" w:rsidP="00000000" w:rsidRDefault="00000000" w:rsidRPr="00000000" w14:paraId="000000D1">
      <w:pPr>
        <w:numPr>
          <w:ilvl w:val="0"/>
          <w:numId w:val="25"/>
        </w:numPr>
        <w:ind w:left="1440" w:hanging="360"/>
        <w:rPr>
          <w:u w:val="none"/>
        </w:rPr>
      </w:pPr>
      <w:r w:rsidDel="00000000" w:rsidR="00000000" w:rsidRPr="00000000">
        <w:rPr>
          <w:rtl w:val="0"/>
        </w:rPr>
        <w:t xml:space="preserve">Mitigation strategies such as vendor-supplied expertise, phased cutovers, or bridging solutions.</w:t>
      </w:r>
    </w:p>
    <w:p w:rsidR="00000000" w:rsidDel="00000000" w:rsidP="00000000" w:rsidRDefault="00000000" w:rsidRPr="00000000" w14:paraId="000000D2">
      <w:pPr>
        <w:numPr>
          <w:ilvl w:val="0"/>
          <w:numId w:val="42"/>
        </w:numPr>
        <w:spacing w:after="0" w:before="200" w:lineRule="auto"/>
        <w:ind w:left="720" w:hanging="360"/>
        <w:rPr>
          <w:b w:val="1"/>
        </w:rPr>
      </w:pPr>
      <w:r w:rsidDel="00000000" w:rsidR="00000000" w:rsidRPr="00000000">
        <w:rPr>
          <w:b w:val="1"/>
          <w:rtl w:val="0"/>
        </w:rPr>
        <w:t xml:space="preserve">Contingency Scenarios  </w:t>
      </w:r>
    </w:p>
    <w:p w:rsidR="00000000" w:rsidDel="00000000" w:rsidP="00000000" w:rsidRDefault="00000000" w:rsidRPr="00000000" w14:paraId="000000D3">
      <w:pPr>
        <w:numPr>
          <w:ilvl w:val="0"/>
          <w:numId w:val="39"/>
        </w:numPr>
        <w:spacing w:after="0" w:before="200" w:lineRule="auto"/>
        <w:ind w:left="1440" w:hanging="360"/>
        <w:rPr>
          <w:u w:val="none"/>
        </w:rPr>
      </w:pPr>
      <w:r w:rsidDel="00000000" w:rsidR="00000000" w:rsidRPr="00000000">
        <w:rPr>
          <w:rtl w:val="0"/>
        </w:rPr>
        <w:t xml:space="preserve">Procedures if major components fail or if unanticipated network conflicts arise.  </w:t>
      </w:r>
    </w:p>
    <w:p w:rsidR="00000000" w:rsidDel="00000000" w:rsidP="00000000" w:rsidRDefault="00000000" w:rsidRPr="00000000" w14:paraId="000000D4">
      <w:pPr>
        <w:numPr>
          <w:ilvl w:val="0"/>
          <w:numId w:val="39"/>
        </w:numPr>
        <w:ind w:left="1440" w:hanging="360"/>
        <w:rPr>
          <w:u w:val="none"/>
        </w:rPr>
      </w:pPr>
      <w:r w:rsidDel="00000000" w:rsidR="00000000" w:rsidRPr="00000000">
        <w:rPr>
          <w:rtl w:val="0"/>
        </w:rPr>
        <w:t xml:space="preserve">Backup or fallback solutions to maintain critical OT processes during transitions.</w:t>
      </w:r>
    </w:p>
    <w:p w:rsidR="00000000" w:rsidDel="00000000" w:rsidP="00000000" w:rsidRDefault="00000000" w:rsidRPr="00000000" w14:paraId="000000D5">
      <w:pPr>
        <w:numPr>
          <w:ilvl w:val="0"/>
          <w:numId w:val="42"/>
        </w:numPr>
        <w:spacing w:after="0" w:before="200" w:lineRule="auto"/>
        <w:ind w:left="720" w:hanging="360"/>
        <w:rPr>
          <w:b w:val="1"/>
        </w:rPr>
      </w:pPr>
      <w:r w:rsidDel="00000000" w:rsidR="00000000" w:rsidRPr="00000000">
        <w:rPr>
          <w:b w:val="1"/>
          <w:rtl w:val="0"/>
        </w:rPr>
        <w:t xml:space="preserve">Governance Structure  </w:t>
      </w:r>
    </w:p>
    <w:p w:rsidR="00000000" w:rsidDel="00000000" w:rsidP="00000000" w:rsidRDefault="00000000" w:rsidRPr="00000000" w14:paraId="000000D6">
      <w:pPr>
        <w:numPr>
          <w:ilvl w:val="0"/>
          <w:numId w:val="35"/>
        </w:numPr>
        <w:spacing w:after="0" w:before="200" w:lineRule="auto"/>
        <w:ind w:left="1440" w:hanging="360"/>
        <w:rPr>
          <w:u w:val="none"/>
        </w:rPr>
      </w:pPr>
      <w:r w:rsidDel="00000000" w:rsidR="00000000" w:rsidRPr="00000000">
        <w:rPr>
          <w:rtl w:val="0"/>
        </w:rPr>
        <w:t xml:space="preserve">Clear ownership of risk acceptance decisions, policy exceptions, and final compliance sign-off.  </w:t>
      </w:r>
    </w:p>
    <w:p w:rsidR="00000000" w:rsidDel="00000000" w:rsidP="00000000" w:rsidRDefault="00000000" w:rsidRPr="00000000" w14:paraId="000000D7">
      <w:pPr>
        <w:numPr>
          <w:ilvl w:val="0"/>
          <w:numId w:val="35"/>
        </w:numPr>
        <w:ind w:left="1440" w:hanging="360"/>
        <w:rPr>
          <w:u w:val="none"/>
        </w:rPr>
      </w:pPr>
      <w:r w:rsidDel="00000000" w:rsidR="00000000" w:rsidRPr="00000000">
        <w:rPr>
          <w:rtl w:val="0"/>
        </w:rPr>
        <w:t xml:space="preserve">Possibly incorporate external advisory boards or regulatory liaisons if needed.</w:t>
      </w:r>
    </w:p>
    <w:p w:rsidR="00000000" w:rsidDel="00000000" w:rsidP="00000000" w:rsidRDefault="00000000" w:rsidRPr="00000000" w14:paraId="000000D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9">
      <w:pPr>
        <w:pStyle w:val="Heading2"/>
        <w:spacing w:after="0" w:before="200" w:lineRule="auto"/>
        <w:rPr>
          <w:b w:val="1"/>
          <w:sz w:val="34"/>
          <w:szCs w:val="34"/>
        </w:rPr>
      </w:pPr>
      <w:bookmarkStart w:colFirst="0" w:colLast="0" w:name="_i7lupys3l3v5" w:id="23"/>
      <w:bookmarkEnd w:id="23"/>
      <w:r w:rsidDel="00000000" w:rsidR="00000000" w:rsidRPr="00000000">
        <w:rPr>
          <w:b w:val="1"/>
          <w:sz w:val="34"/>
          <w:szCs w:val="34"/>
          <w:rtl w:val="0"/>
        </w:rPr>
        <w:t xml:space="preserve">5. Vendor Qualifications and Experience</w:t>
      </w:r>
    </w:p>
    <w:p w:rsidR="00000000" w:rsidDel="00000000" w:rsidP="00000000" w:rsidRDefault="00000000" w:rsidRPr="00000000" w14:paraId="000000DA">
      <w:pPr>
        <w:pStyle w:val="Heading3"/>
        <w:rPr/>
      </w:pPr>
      <w:bookmarkStart w:colFirst="0" w:colLast="0" w:name="_gty6zvbbjs6h" w:id="24"/>
      <w:bookmarkEnd w:id="24"/>
      <w:r w:rsidDel="00000000" w:rsidR="00000000" w:rsidRPr="00000000">
        <w:rPr>
          <w:b w:val="1"/>
          <w:color w:val="000000"/>
          <w:sz w:val="26"/>
          <w:szCs w:val="26"/>
          <w:rtl w:val="0"/>
        </w:rPr>
        <w:t xml:space="preserve">5.1 Company Profile and Financial Stability</w:t>
      </w:r>
      <w:r w:rsidDel="00000000" w:rsidR="00000000" w:rsidRPr="00000000">
        <w:rPr>
          <w:rtl w:val="0"/>
        </w:rPr>
      </w:r>
    </w:p>
    <w:p w:rsidR="00000000" w:rsidDel="00000000" w:rsidP="00000000" w:rsidRDefault="00000000" w:rsidRPr="00000000" w14:paraId="000000DB">
      <w:pPr>
        <w:numPr>
          <w:ilvl w:val="0"/>
          <w:numId w:val="41"/>
        </w:numPr>
        <w:spacing w:before="200" w:lineRule="auto"/>
        <w:ind w:left="720" w:hanging="360"/>
        <w:rPr>
          <w:u w:val="none"/>
        </w:rPr>
      </w:pPr>
      <w:r w:rsidDel="00000000" w:rsidR="00000000" w:rsidRPr="00000000">
        <w:rPr>
          <w:b w:val="1"/>
          <w:rtl w:val="0"/>
        </w:rPr>
        <w:t xml:space="preserve">Corporate History:</w:t>
      </w:r>
      <w:r w:rsidDel="00000000" w:rsidR="00000000" w:rsidRPr="00000000">
        <w:rPr>
          <w:rtl w:val="0"/>
        </w:rPr>
        <w:t xml:space="preserve"> Founding date, organizational structure, strategic investments in R&amp;D (especially in IoT/OT security).  </w:t>
      </w:r>
    </w:p>
    <w:p w:rsidR="00000000" w:rsidDel="00000000" w:rsidP="00000000" w:rsidRDefault="00000000" w:rsidRPr="00000000" w14:paraId="000000DC">
      <w:pPr>
        <w:numPr>
          <w:ilvl w:val="0"/>
          <w:numId w:val="41"/>
        </w:numPr>
        <w:ind w:left="720" w:hanging="360"/>
        <w:rPr>
          <w:u w:val="none"/>
        </w:rPr>
      </w:pPr>
      <w:r w:rsidDel="00000000" w:rsidR="00000000" w:rsidRPr="00000000">
        <w:rPr>
          <w:b w:val="1"/>
          <w:rtl w:val="0"/>
        </w:rPr>
        <w:t xml:space="preserve">Financial Health: </w:t>
      </w:r>
      <w:r w:rsidDel="00000000" w:rsidR="00000000" w:rsidRPr="00000000">
        <w:rPr>
          <w:rtl w:val="0"/>
        </w:rPr>
        <w:t xml:space="preserve">Indicators of viability and sustainability (profitability, strong funding, or stable revenue).  </w:t>
      </w:r>
    </w:p>
    <w:p w:rsidR="00000000" w:rsidDel="00000000" w:rsidP="00000000" w:rsidRDefault="00000000" w:rsidRPr="00000000" w14:paraId="000000DD">
      <w:pPr>
        <w:numPr>
          <w:ilvl w:val="0"/>
          <w:numId w:val="41"/>
        </w:numPr>
        <w:ind w:left="720" w:hanging="360"/>
        <w:rPr>
          <w:u w:val="none"/>
        </w:rPr>
      </w:pPr>
      <w:r w:rsidDel="00000000" w:rsidR="00000000" w:rsidRPr="00000000">
        <w:rPr>
          <w:b w:val="1"/>
          <w:rtl w:val="0"/>
        </w:rPr>
        <w:t xml:space="preserve">Security-Focused Partnerships:</w:t>
      </w:r>
      <w:r w:rsidDel="00000000" w:rsidR="00000000" w:rsidRPr="00000000">
        <w:rPr>
          <w:rtl w:val="0"/>
        </w:rPr>
        <w:t xml:space="preserve"> Alliances or certifications with major platform providers (cloud, ICS manufacturers, networking vendors).</w:t>
      </w:r>
    </w:p>
    <w:p w:rsidR="00000000" w:rsidDel="00000000" w:rsidP="00000000" w:rsidRDefault="00000000" w:rsidRPr="00000000" w14:paraId="000000DE">
      <w:pPr>
        <w:pStyle w:val="Heading3"/>
        <w:rPr/>
      </w:pPr>
      <w:bookmarkStart w:colFirst="0" w:colLast="0" w:name="_ha725fh6f7vp" w:id="25"/>
      <w:bookmarkEnd w:id="25"/>
      <w:r w:rsidDel="00000000" w:rsidR="00000000" w:rsidRPr="00000000">
        <w:rPr>
          <w:b w:val="1"/>
          <w:color w:val="000000"/>
          <w:sz w:val="26"/>
          <w:szCs w:val="26"/>
          <w:rtl w:val="0"/>
        </w:rPr>
        <w:t xml:space="preserve">5.2 NIS2 Regulatory Expertise and Track Record</w:t>
      </w:r>
      <w:r w:rsidDel="00000000" w:rsidR="00000000" w:rsidRPr="00000000">
        <w:rPr>
          <w:rtl w:val="0"/>
        </w:rPr>
      </w:r>
    </w:p>
    <w:p w:rsidR="00000000" w:rsidDel="00000000" w:rsidP="00000000" w:rsidRDefault="00000000" w:rsidRPr="00000000" w14:paraId="000000DF">
      <w:pPr>
        <w:numPr>
          <w:ilvl w:val="0"/>
          <w:numId w:val="18"/>
        </w:numPr>
        <w:spacing w:before="200" w:lineRule="auto"/>
        <w:ind w:left="720" w:hanging="360"/>
        <w:rPr>
          <w:u w:val="none"/>
        </w:rPr>
      </w:pPr>
      <w:r w:rsidDel="00000000" w:rsidR="00000000" w:rsidRPr="00000000">
        <w:rPr>
          <w:b w:val="1"/>
          <w:rtl w:val="0"/>
        </w:rPr>
        <w:t xml:space="preserve">Deep Familiarity with NIS2:</w:t>
      </w:r>
      <w:r w:rsidDel="00000000" w:rsidR="00000000" w:rsidRPr="00000000">
        <w:rPr>
          <w:rtl w:val="0"/>
        </w:rPr>
        <w:t xml:space="preserve"> Understanding of how NIS2 extends beyond the original NIS Directive, plus relevant national implementations.  </w:t>
      </w:r>
    </w:p>
    <w:p w:rsidR="00000000" w:rsidDel="00000000" w:rsidP="00000000" w:rsidRDefault="00000000" w:rsidRPr="00000000" w14:paraId="000000E0">
      <w:pPr>
        <w:numPr>
          <w:ilvl w:val="0"/>
          <w:numId w:val="18"/>
        </w:numPr>
        <w:ind w:left="720" w:hanging="360"/>
        <w:rPr>
          <w:u w:val="none"/>
        </w:rPr>
      </w:pPr>
      <w:r w:rsidDel="00000000" w:rsidR="00000000" w:rsidRPr="00000000">
        <w:rPr>
          <w:b w:val="1"/>
          <w:rtl w:val="0"/>
        </w:rPr>
        <w:t xml:space="preserve">Previous Engagements: </w:t>
      </w:r>
      <w:r w:rsidDel="00000000" w:rsidR="00000000" w:rsidRPr="00000000">
        <w:rPr>
          <w:rtl w:val="0"/>
        </w:rPr>
        <w:t xml:space="preserve">References to prior NIS or critical infrastructure compliance projects.  </w:t>
      </w:r>
    </w:p>
    <w:p w:rsidR="00000000" w:rsidDel="00000000" w:rsidP="00000000" w:rsidRDefault="00000000" w:rsidRPr="00000000" w14:paraId="000000E1">
      <w:pPr>
        <w:numPr>
          <w:ilvl w:val="0"/>
          <w:numId w:val="18"/>
        </w:numPr>
        <w:ind w:left="720" w:hanging="360"/>
        <w:rPr>
          <w:u w:val="none"/>
        </w:rPr>
      </w:pPr>
      <w:r w:rsidDel="00000000" w:rsidR="00000000" w:rsidRPr="00000000">
        <w:rPr>
          <w:b w:val="1"/>
          <w:rtl w:val="0"/>
        </w:rPr>
        <w:t xml:space="preserve">Regulatory Alignment:</w:t>
      </w:r>
      <w:r w:rsidDel="00000000" w:rsidR="00000000" w:rsidRPr="00000000">
        <w:rPr>
          <w:rtl w:val="0"/>
        </w:rPr>
        <w:t xml:space="preserve"> Ability to incorporate local or sector-specific guidelines into a single compliance framework.</w:t>
      </w:r>
    </w:p>
    <w:p w:rsidR="00000000" w:rsidDel="00000000" w:rsidP="00000000" w:rsidRDefault="00000000" w:rsidRPr="00000000" w14:paraId="000000E2">
      <w:pPr>
        <w:pStyle w:val="Heading3"/>
        <w:rPr/>
      </w:pPr>
      <w:bookmarkStart w:colFirst="0" w:colLast="0" w:name="_ledene5h11rp" w:id="26"/>
      <w:bookmarkEnd w:id="26"/>
      <w:r w:rsidDel="00000000" w:rsidR="00000000" w:rsidRPr="00000000">
        <w:rPr>
          <w:b w:val="1"/>
          <w:color w:val="000000"/>
          <w:sz w:val="26"/>
          <w:szCs w:val="26"/>
          <w:rtl w:val="0"/>
        </w:rPr>
        <w:t xml:space="preserve">5.3 Industry Experience and Case Studies</w:t>
      </w:r>
      <w:r w:rsidDel="00000000" w:rsidR="00000000" w:rsidRPr="00000000">
        <w:rPr>
          <w:rtl w:val="0"/>
        </w:rPr>
      </w:r>
    </w:p>
    <w:p w:rsidR="00000000" w:rsidDel="00000000" w:rsidP="00000000" w:rsidRDefault="00000000" w:rsidRPr="00000000" w14:paraId="000000E3">
      <w:pPr>
        <w:numPr>
          <w:ilvl w:val="0"/>
          <w:numId w:val="20"/>
        </w:numPr>
        <w:spacing w:before="200" w:lineRule="auto"/>
        <w:ind w:left="720" w:hanging="360"/>
        <w:rPr>
          <w:u w:val="none"/>
        </w:rPr>
      </w:pPr>
      <w:r w:rsidDel="00000000" w:rsidR="00000000" w:rsidRPr="00000000">
        <w:rPr>
          <w:b w:val="1"/>
          <w:rtl w:val="0"/>
        </w:rPr>
        <w:t xml:space="preserve">Key Verticals:</w:t>
      </w:r>
      <w:r w:rsidDel="00000000" w:rsidR="00000000" w:rsidRPr="00000000">
        <w:rPr>
          <w:rtl w:val="0"/>
        </w:rPr>
        <w:t xml:space="preserve"> References in similar industries (utilities, healthcare, manufacturing, financial services) where OT/IoT security is critical.  </w:t>
      </w:r>
    </w:p>
    <w:p w:rsidR="00000000" w:rsidDel="00000000" w:rsidP="00000000" w:rsidRDefault="00000000" w:rsidRPr="00000000" w14:paraId="000000E4">
      <w:pPr>
        <w:numPr>
          <w:ilvl w:val="0"/>
          <w:numId w:val="20"/>
        </w:numPr>
        <w:ind w:left="720" w:hanging="360"/>
        <w:rPr>
          <w:u w:val="none"/>
        </w:rPr>
      </w:pPr>
      <w:r w:rsidDel="00000000" w:rsidR="00000000" w:rsidRPr="00000000">
        <w:rPr>
          <w:b w:val="1"/>
          <w:rtl w:val="0"/>
        </w:rPr>
        <w:t xml:space="preserve">Impact and Results:</w:t>
      </w:r>
      <w:r w:rsidDel="00000000" w:rsidR="00000000" w:rsidRPr="00000000">
        <w:rPr>
          <w:rtl w:val="0"/>
        </w:rPr>
        <w:t xml:space="preserve"> Concrete case studies demonstrating risk reduction, compliance success, or significant ROI from prior deployments.  </w:t>
      </w:r>
    </w:p>
    <w:p w:rsidR="00000000" w:rsidDel="00000000" w:rsidP="00000000" w:rsidRDefault="00000000" w:rsidRPr="00000000" w14:paraId="000000E5">
      <w:pPr>
        <w:numPr>
          <w:ilvl w:val="0"/>
          <w:numId w:val="20"/>
        </w:numPr>
        <w:ind w:left="720" w:hanging="360"/>
        <w:rPr>
          <w:u w:val="none"/>
        </w:rPr>
      </w:pPr>
      <w:r w:rsidDel="00000000" w:rsidR="00000000" w:rsidRPr="00000000">
        <w:rPr>
          <w:b w:val="1"/>
          <w:rtl w:val="0"/>
        </w:rPr>
        <w:t xml:space="preserve">Client References:</w:t>
      </w:r>
      <w:r w:rsidDel="00000000" w:rsidR="00000000" w:rsidRPr="00000000">
        <w:rPr>
          <w:rtl w:val="0"/>
        </w:rPr>
        <w:t xml:space="preserve"> At least 2–3 references or testimonials from customers of similar scale and complexity.</w:t>
      </w:r>
    </w:p>
    <w:p w:rsidR="00000000" w:rsidDel="00000000" w:rsidP="00000000" w:rsidRDefault="00000000" w:rsidRPr="00000000" w14:paraId="000000E6">
      <w:pPr>
        <w:pStyle w:val="Heading3"/>
        <w:rPr>
          <w:b w:val="1"/>
          <w:color w:val="000000"/>
          <w:sz w:val="26"/>
          <w:szCs w:val="26"/>
        </w:rPr>
      </w:pPr>
      <w:bookmarkStart w:colFirst="0" w:colLast="0" w:name="_ikdyvje8nvp3" w:id="27"/>
      <w:bookmarkEnd w:id="27"/>
      <w:r w:rsidDel="00000000" w:rsidR="00000000" w:rsidRPr="00000000">
        <w:rPr>
          <w:b w:val="1"/>
          <w:color w:val="000000"/>
          <w:sz w:val="26"/>
          <w:szCs w:val="26"/>
          <w:rtl w:val="0"/>
        </w:rPr>
        <w:t xml:space="preserve">5.4 Partnerships, Certifications, and Accreditations</w:t>
      </w:r>
    </w:p>
    <w:p w:rsidR="00000000" w:rsidDel="00000000" w:rsidP="00000000" w:rsidRDefault="00000000" w:rsidRPr="00000000" w14:paraId="000000E7">
      <w:pPr>
        <w:numPr>
          <w:ilvl w:val="0"/>
          <w:numId w:val="19"/>
        </w:numPr>
        <w:spacing w:before="200" w:lineRule="auto"/>
        <w:ind w:left="720" w:hanging="360"/>
        <w:rPr>
          <w:u w:val="none"/>
        </w:rPr>
      </w:pPr>
      <w:r w:rsidDel="00000000" w:rsidR="00000000" w:rsidRPr="00000000">
        <w:rPr>
          <w:rtl w:val="0"/>
        </w:rPr>
        <w:t xml:space="preserve">ISO 27001, ISO 9001 or other recognized information security or quality management standards.  </w:t>
      </w:r>
    </w:p>
    <w:p w:rsidR="00000000" w:rsidDel="00000000" w:rsidP="00000000" w:rsidRDefault="00000000" w:rsidRPr="00000000" w14:paraId="000000E8">
      <w:pPr>
        <w:numPr>
          <w:ilvl w:val="0"/>
          <w:numId w:val="19"/>
        </w:numPr>
        <w:ind w:left="720" w:hanging="360"/>
        <w:rPr>
          <w:u w:val="none"/>
        </w:rPr>
      </w:pPr>
      <w:r w:rsidDel="00000000" w:rsidR="00000000" w:rsidRPr="00000000">
        <w:rPr>
          <w:rtl w:val="0"/>
        </w:rPr>
        <w:t xml:space="preserve">GDPR, DORA, or ICS Security–related endorsements.  </w:t>
      </w:r>
    </w:p>
    <w:p w:rsidR="00000000" w:rsidDel="00000000" w:rsidP="00000000" w:rsidRDefault="00000000" w:rsidRPr="00000000" w14:paraId="000000E9">
      <w:pPr>
        <w:numPr>
          <w:ilvl w:val="0"/>
          <w:numId w:val="19"/>
        </w:numPr>
        <w:ind w:left="720" w:hanging="360"/>
        <w:rPr>
          <w:u w:val="none"/>
        </w:rPr>
      </w:pPr>
      <w:r w:rsidDel="00000000" w:rsidR="00000000" w:rsidRPr="00000000">
        <w:rPr>
          <w:rtl w:val="0"/>
        </w:rPr>
        <w:t xml:space="preserve">Industry Recognition: Awards, analyst mentions (Gartner, Forrester) in categories like IoT/OT security, vulnerability management, or compliance solutions.</w:t>
      </w:r>
    </w:p>
    <w:p w:rsidR="00000000" w:rsidDel="00000000" w:rsidP="00000000" w:rsidRDefault="00000000" w:rsidRPr="00000000" w14:paraId="000000EA">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pStyle w:val="Heading2"/>
        <w:spacing w:after="0" w:before="200" w:lineRule="auto"/>
        <w:rPr/>
      </w:pPr>
      <w:bookmarkStart w:colFirst="0" w:colLast="0" w:name="_3c4pt5d4rkxl" w:id="28"/>
      <w:bookmarkEnd w:id="28"/>
      <w:r w:rsidDel="00000000" w:rsidR="00000000" w:rsidRPr="00000000">
        <w:rPr>
          <w:b w:val="1"/>
          <w:sz w:val="34"/>
          <w:szCs w:val="34"/>
          <w:rtl w:val="0"/>
        </w:rPr>
        <w:t xml:space="preserve">6. Pricing, Licensing, and Commercial Terms</w:t>
      </w:r>
      <w:r w:rsidDel="00000000" w:rsidR="00000000" w:rsidRPr="00000000">
        <w:rPr>
          <w:rtl w:val="0"/>
        </w:rPr>
      </w:r>
    </w:p>
    <w:p w:rsidR="00000000" w:rsidDel="00000000" w:rsidP="00000000" w:rsidRDefault="00000000" w:rsidRPr="00000000" w14:paraId="000000EC">
      <w:pPr>
        <w:pStyle w:val="Heading3"/>
        <w:rPr/>
      </w:pPr>
      <w:bookmarkStart w:colFirst="0" w:colLast="0" w:name="_tycpfn9fkg75" w:id="29"/>
      <w:bookmarkEnd w:id="29"/>
      <w:r w:rsidDel="00000000" w:rsidR="00000000" w:rsidRPr="00000000">
        <w:rPr>
          <w:b w:val="1"/>
          <w:color w:val="000000"/>
          <w:sz w:val="26"/>
          <w:szCs w:val="26"/>
          <w:rtl w:val="0"/>
        </w:rPr>
        <w:t xml:space="preserve">6.1 Cost Model (Subscription, Perpetual, Consumption-Based)</w:t>
      </w:r>
      <w:r w:rsidDel="00000000" w:rsidR="00000000" w:rsidRPr="00000000">
        <w:rPr>
          <w:rtl w:val="0"/>
        </w:rPr>
      </w:r>
    </w:p>
    <w:p w:rsidR="00000000" w:rsidDel="00000000" w:rsidP="00000000" w:rsidRDefault="00000000" w:rsidRPr="00000000" w14:paraId="000000ED">
      <w:pPr>
        <w:numPr>
          <w:ilvl w:val="0"/>
          <w:numId w:val="30"/>
        </w:numPr>
        <w:spacing w:before="200" w:lineRule="auto"/>
        <w:ind w:left="720" w:hanging="360"/>
        <w:rPr>
          <w:u w:val="none"/>
        </w:rPr>
      </w:pPr>
      <w:r w:rsidDel="00000000" w:rsidR="00000000" w:rsidRPr="00000000">
        <w:rPr>
          <w:b w:val="1"/>
          <w:rtl w:val="0"/>
        </w:rPr>
        <w:t xml:space="preserve">License Metrics </w:t>
      </w:r>
      <w:r w:rsidDel="00000000" w:rsidR="00000000" w:rsidRPr="00000000">
        <w:rPr>
          <w:rtl w:val="0"/>
        </w:rPr>
        <w:t xml:space="preserve"> </w:t>
      </w:r>
    </w:p>
    <w:p w:rsidR="00000000" w:rsidDel="00000000" w:rsidP="00000000" w:rsidRDefault="00000000" w:rsidRPr="00000000" w14:paraId="000000EE">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Clarify if pricing is device-based, site-based, or enterprise-based.  </w:t>
      </w:r>
    </w:p>
    <w:p w:rsidR="00000000" w:rsidDel="00000000" w:rsidP="00000000" w:rsidRDefault="00000000" w:rsidRPr="00000000" w14:paraId="000000EF">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Options for expansions or incremental usage (pay-as-you-go, volume discounts, etc.).</w:t>
      </w:r>
    </w:p>
    <w:p w:rsidR="00000000" w:rsidDel="00000000" w:rsidP="00000000" w:rsidRDefault="00000000" w:rsidRPr="00000000" w14:paraId="000000F0">
      <w:pPr>
        <w:numPr>
          <w:ilvl w:val="0"/>
          <w:numId w:val="30"/>
        </w:numPr>
        <w:spacing w:after="0" w:before="200" w:lineRule="auto"/>
        <w:ind w:left="720" w:hanging="360"/>
        <w:rPr>
          <w:u w:val="none"/>
        </w:rPr>
      </w:pPr>
      <w:r w:rsidDel="00000000" w:rsidR="00000000" w:rsidRPr="00000000">
        <w:rPr>
          <w:b w:val="1"/>
          <w:rtl w:val="0"/>
        </w:rPr>
        <w:t xml:space="preserve">Initial and Recurring Costs </w:t>
      </w:r>
      <w:r w:rsidDel="00000000" w:rsidR="00000000" w:rsidRPr="00000000">
        <w:rPr>
          <w:rtl w:val="0"/>
        </w:rPr>
        <w:t xml:space="preserve"> </w:t>
      </w:r>
    </w:p>
    <w:p w:rsidR="00000000" w:rsidDel="00000000" w:rsidP="00000000" w:rsidRDefault="00000000" w:rsidRPr="00000000" w14:paraId="000000F1">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Implementation fees, integration costs, training.  </w:t>
      </w:r>
    </w:p>
    <w:p w:rsidR="00000000" w:rsidDel="00000000" w:rsidP="00000000" w:rsidRDefault="00000000" w:rsidRPr="00000000" w14:paraId="000000F2">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Ongoing subscription or maintenance charges.</w:t>
      </w:r>
    </w:p>
    <w:p w:rsidR="00000000" w:rsidDel="00000000" w:rsidP="00000000" w:rsidRDefault="00000000" w:rsidRPr="00000000" w14:paraId="000000F3">
      <w:pPr>
        <w:pStyle w:val="Heading3"/>
        <w:rPr/>
      </w:pPr>
      <w:bookmarkStart w:colFirst="0" w:colLast="0" w:name="_80ftcqqkgb3s" w:id="30"/>
      <w:bookmarkEnd w:id="30"/>
      <w:r w:rsidDel="00000000" w:rsidR="00000000" w:rsidRPr="00000000">
        <w:rPr>
          <w:b w:val="1"/>
          <w:color w:val="000000"/>
          <w:sz w:val="26"/>
          <w:szCs w:val="26"/>
          <w:rtl w:val="0"/>
        </w:rPr>
        <w:t xml:space="preserve">6.2 Maintenance, Support, and SLAs</w:t>
      </w:r>
      <w:r w:rsidDel="00000000" w:rsidR="00000000" w:rsidRPr="00000000">
        <w:rPr>
          <w:rtl w:val="0"/>
        </w:rPr>
      </w:r>
    </w:p>
    <w:p w:rsidR="00000000" w:rsidDel="00000000" w:rsidP="00000000" w:rsidRDefault="00000000" w:rsidRPr="00000000" w14:paraId="000000F4">
      <w:pPr>
        <w:numPr>
          <w:ilvl w:val="0"/>
          <w:numId w:val="36"/>
        </w:numPr>
        <w:spacing w:before="200" w:lineRule="auto"/>
        <w:ind w:left="720" w:hanging="360"/>
        <w:rPr>
          <w:b w:val="1"/>
        </w:rPr>
      </w:pPr>
      <w:r w:rsidDel="00000000" w:rsidR="00000000" w:rsidRPr="00000000">
        <w:rPr>
          <w:b w:val="1"/>
          <w:rtl w:val="0"/>
        </w:rPr>
        <w:t xml:space="preserve">Support Levels  </w:t>
      </w:r>
    </w:p>
    <w:p w:rsidR="00000000" w:rsidDel="00000000" w:rsidP="00000000" w:rsidRDefault="00000000" w:rsidRPr="00000000" w14:paraId="000000F5">
      <w:pPr>
        <w:numPr>
          <w:ilvl w:val="0"/>
          <w:numId w:val="34"/>
        </w:numPr>
        <w:spacing w:after="0" w:before="200" w:lineRule="auto"/>
        <w:ind w:left="1440" w:hanging="360"/>
        <w:rPr>
          <w:u w:val="none"/>
        </w:rPr>
      </w:pPr>
      <w:r w:rsidDel="00000000" w:rsidR="00000000" w:rsidRPr="00000000">
        <w:rPr>
          <w:rtl w:val="0"/>
        </w:rPr>
        <w:t xml:space="preserve">24/7 or business-hours helpdesk, including response times for critical incidents.  </w:t>
      </w:r>
    </w:p>
    <w:p w:rsidR="00000000" w:rsidDel="00000000" w:rsidP="00000000" w:rsidRDefault="00000000" w:rsidRPr="00000000" w14:paraId="000000F6">
      <w:pPr>
        <w:numPr>
          <w:ilvl w:val="0"/>
          <w:numId w:val="34"/>
        </w:numPr>
        <w:ind w:left="1440" w:hanging="360"/>
        <w:rPr>
          <w:u w:val="none"/>
        </w:rPr>
      </w:pPr>
      <w:r w:rsidDel="00000000" w:rsidR="00000000" w:rsidRPr="00000000">
        <w:rPr>
          <w:rtl w:val="0"/>
        </w:rPr>
        <w:t xml:space="preserve">Named technical account managers or a dedicated customer success team.</w:t>
      </w:r>
    </w:p>
    <w:p w:rsidR="00000000" w:rsidDel="00000000" w:rsidP="00000000" w:rsidRDefault="00000000" w:rsidRPr="00000000" w14:paraId="000000F7">
      <w:pPr>
        <w:numPr>
          <w:ilvl w:val="0"/>
          <w:numId w:val="36"/>
        </w:numPr>
        <w:spacing w:after="0" w:before="200" w:lineRule="auto"/>
        <w:ind w:left="720" w:hanging="360"/>
        <w:rPr>
          <w:b w:val="1"/>
        </w:rPr>
      </w:pPr>
      <w:r w:rsidDel="00000000" w:rsidR="00000000" w:rsidRPr="00000000">
        <w:rPr>
          <w:b w:val="1"/>
          <w:rtl w:val="0"/>
        </w:rPr>
        <w:t xml:space="preserve">Software Updates and Patches  </w:t>
      </w:r>
    </w:p>
    <w:p w:rsidR="00000000" w:rsidDel="00000000" w:rsidP="00000000" w:rsidRDefault="00000000" w:rsidRPr="00000000" w14:paraId="000000F8">
      <w:pPr>
        <w:numPr>
          <w:ilvl w:val="0"/>
          <w:numId w:val="12"/>
        </w:numPr>
        <w:spacing w:after="0" w:before="200" w:lineRule="auto"/>
        <w:ind w:left="1440" w:hanging="360"/>
        <w:rPr>
          <w:u w:val="none"/>
        </w:rPr>
      </w:pPr>
      <w:r w:rsidDel="00000000" w:rsidR="00000000" w:rsidRPr="00000000">
        <w:rPr>
          <w:rtl w:val="0"/>
        </w:rPr>
        <w:t xml:space="preserve">Frequency of new device signatures, vulnerability data, or major feature releases.  </w:t>
      </w:r>
    </w:p>
    <w:p w:rsidR="00000000" w:rsidDel="00000000" w:rsidP="00000000" w:rsidRDefault="00000000" w:rsidRPr="00000000" w14:paraId="000000F9">
      <w:pPr>
        <w:numPr>
          <w:ilvl w:val="0"/>
          <w:numId w:val="12"/>
        </w:numPr>
        <w:ind w:left="1440" w:hanging="360"/>
        <w:rPr>
          <w:u w:val="none"/>
        </w:rPr>
      </w:pPr>
      <w:r w:rsidDel="00000000" w:rsidR="00000000" w:rsidRPr="00000000">
        <w:rPr>
          <w:rtl w:val="0"/>
        </w:rPr>
        <w:t xml:space="preserve">Transparent release notes and backward compatibility guarantees.</w:t>
      </w:r>
    </w:p>
    <w:p w:rsidR="00000000" w:rsidDel="00000000" w:rsidP="00000000" w:rsidRDefault="00000000" w:rsidRPr="00000000" w14:paraId="000000FA">
      <w:pPr>
        <w:numPr>
          <w:ilvl w:val="0"/>
          <w:numId w:val="36"/>
        </w:numPr>
        <w:spacing w:after="0" w:before="200" w:lineRule="auto"/>
        <w:ind w:left="720" w:hanging="360"/>
        <w:rPr>
          <w:b w:val="1"/>
        </w:rPr>
      </w:pPr>
      <w:r w:rsidDel="00000000" w:rsidR="00000000" w:rsidRPr="00000000">
        <w:rPr>
          <w:b w:val="1"/>
          <w:rtl w:val="0"/>
        </w:rPr>
        <w:t xml:space="preserve">Escalation Procedures  </w:t>
      </w:r>
    </w:p>
    <w:p w:rsidR="00000000" w:rsidDel="00000000" w:rsidP="00000000" w:rsidRDefault="00000000" w:rsidRPr="00000000" w14:paraId="000000F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200" w:line="276" w:lineRule="auto"/>
        <w:ind w:left="1440" w:right="0" w:hanging="360"/>
        <w:jc w:val="left"/>
      </w:pPr>
      <w:r w:rsidDel="00000000" w:rsidR="00000000" w:rsidRPr="00000000">
        <w:rPr>
          <w:rtl w:val="0"/>
        </w:rPr>
        <w:t xml:space="preserve">Defined escalation paths and communication channels for high-severity or complex issues.  </w:t>
      </w:r>
    </w:p>
    <w:p w:rsidR="00000000" w:rsidDel="00000000" w:rsidP="00000000" w:rsidRDefault="00000000" w:rsidRPr="00000000" w14:paraId="000000F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pPr>
      <w:r w:rsidDel="00000000" w:rsidR="00000000" w:rsidRPr="00000000">
        <w:rPr>
          <w:rtl w:val="0"/>
        </w:rPr>
        <w:t xml:space="preserve">Potential on-site support if required for ICS or OT environments.</w:t>
      </w:r>
    </w:p>
    <w:p w:rsidR="00000000" w:rsidDel="00000000" w:rsidP="00000000" w:rsidRDefault="00000000" w:rsidRPr="00000000" w14:paraId="000000FD">
      <w:pPr>
        <w:pStyle w:val="Heading3"/>
        <w:rPr/>
      </w:pPr>
      <w:bookmarkStart w:colFirst="0" w:colLast="0" w:name="_fwgf0jp3022x" w:id="31"/>
      <w:bookmarkEnd w:id="31"/>
      <w:r w:rsidDel="00000000" w:rsidR="00000000" w:rsidRPr="00000000">
        <w:rPr>
          <w:b w:val="1"/>
          <w:color w:val="000000"/>
          <w:sz w:val="26"/>
          <w:szCs w:val="26"/>
          <w:rtl w:val="0"/>
        </w:rPr>
        <w:t xml:space="preserve">6.3 Additional Services and Future Scalability</w:t>
      </w:r>
      <w:r w:rsidDel="00000000" w:rsidR="00000000" w:rsidRPr="00000000">
        <w:rPr>
          <w:rtl w:val="0"/>
        </w:rPr>
      </w:r>
    </w:p>
    <w:p w:rsidR="00000000" w:rsidDel="00000000" w:rsidP="00000000" w:rsidRDefault="00000000" w:rsidRPr="00000000" w14:paraId="000000FE">
      <w:pPr>
        <w:numPr>
          <w:ilvl w:val="0"/>
          <w:numId w:val="3"/>
        </w:numPr>
        <w:spacing w:before="200" w:lineRule="auto"/>
        <w:ind w:left="720" w:hanging="360"/>
        <w:rPr>
          <w:b w:val="1"/>
        </w:rPr>
      </w:pPr>
      <w:r w:rsidDel="00000000" w:rsidR="00000000" w:rsidRPr="00000000">
        <w:rPr>
          <w:b w:val="1"/>
          <w:rtl w:val="0"/>
        </w:rPr>
        <w:t xml:space="preserve">Professional Services  </w:t>
      </w:r>
    </w:p>
    <w:p w:rsidR="00000000" w:rsidDel="00000000" w:rsidP="00000000" w:rsidRDefault="00000000" w:rsidRPr="00000000" w14:paraId="000000FF">
      <w:pPr>
        <w:numPr>
          <w:ilvl w:val="0"/>
          <w:numId w:val="28"/>
        </w:numPr>
        <w:spacing w:after="0" w:before="200" w:lineRule="auto"/>
        <w:ind w:left="1440" w:hanging="360"/>
        <w:rPr>
          <w:u w:val="none"/>
        </w:rPr>
      </w:pPr>
      <w:r w:rsidDel="00000000" w:rsidR="00000000" w:rsidRPr="00000000">
        <w:rPr>
          <w:rtl w:val="0"/>
        </w:rPr>
        <w:t xml:space="preserve">Consultancy for advanced policy tuning, custom integrations, or specialized training.  </w:t>
      </w:r>
    </w:p>
    <w:p w:rsidR="00000000" w:rsidDel="00000000" w:rsidP="00000000" w:rsidRDefault="00000000" w:rsidRPr="00000000" w14:paraId="00000100">
      <w:pPr>
        <w:numPr>
          <w:ilvl w:val="0"/>
          <w:numId w:val="28"/>
        </w:numPr>
        <w:ind w:left="1440" w:hanging="360"/>
        <w:rPr>
          <w:u w:val="none"/>
        </w:rPr>
      </w:pPr>
      <w:r w:rsidDel="00000000" w:rsidR="00000000" w:rsidRPr="00000000">
        <w:rPr>
          <w:rtl w:val="0"/>
        </w:rPr>
        <w:t xml:space="preserve">Implementation of best practices for ICS or multi-site rollouts.</w:t>
      </w:r>
    </w:p>
    <w:p w:rsidR="00000000" w:rsidDel="00000000" w:rsidP="00000000" w:rsidRDefault="00000000" w:rsidRPr="00000000" w14:paraId="00000101">
      <w:pPr>
        <w:numPr>
          <w:ilvl w:val="0"/>
          <w:numId w:val="3"/>
        </w:numPr>
        <w:spacing w:after="0" w:before="200" w:lineRule="auto"/>
        <w:ind w:left="720" w:hanging="360"/>
        <w:rPr>
          <w:b w:val="1"/>
        </w:rPr>
      </w:pPr>
      <w:r w:rsidDel="00000000" w:rsidR="00000000" w:rsidRPr="00000000">
        <w:rPr>
          <w:b w:val="1"/>
          <w:rtl w:val="0"/>
        </w:rPr>
        <w:t xml:space="preserve">Long-Term Scalability  </w:t>
      </w:r>
    </w:p>
    <w:p w:rsidR="00000000" w:rsidDel="00000000" w:rsidP="00000000" w:rsidRDefault="00000000" w:rsidRPr="00000000" w14:paraId="00000102">
      <w:pPr>
        <w:numPr>
          <w:ilvl w:val="0"/>
          <w:numId w:val="9"/>
        </w:numPr>
        <w:spacing w:after="0" w:before="200" w:lineRule="auto"/>
        <w:ind w:left="1440" w:hanging="360"/>
        <w:rPr>
          <w:u w:val="none"/>
        </w:rPr>
      </w:pPr>
      <w:r w:rsidDel="00000000" w:rsidR="00000000" w:rsidRPr="00000000">
        <w:rPr>
          <w:rtl w:val="0"/>
        </w:rPr>
        <w:t xml:space="preserve">Adapting the solution for additional sites, new acquisitions, or expanding threat landscapes.  </w:t>
      </w:r>
    </w:p>
    <w:p w:rsidR="00000000" w:rsidDel="00000000" w:rsidP="00000000" w:rsidRDefault="00000000" w:rsidRPr="00000000" w14:paraId="00000103">
      <w:pPr>
        <w:numPr>
          <w:ilvl w:val="0"/>
          <w:numId w:val="9"/>
        </w:numPr>
        <w:ind w:left="1440" w:hanging="360"/>
        <w:rPr>
          <w:u w:val="none"/>
        </w:rPr>
      </w:pPr>
      <w:r w:rsidDel="00000000" w:rsidR="00000000" w:rsidRPr="00000000">
        <w:rPr>
          <w:rtl w:val="0"/>
        </w:rPr>
        <w:t xml:space="preserve">Roadmap for upcoming product features that align with NIS2 or emerging EU directives.</w:t>
      </w:r>
    </w:p>
    <w:p w:rsidR="00000000" w:rsidDel="00000000" w:rsidP="00000000" w:rsidRDefault="00000000" w:rsidRPr="00000000" w14:paraId="00000104">
      <w:pPr>
        <w:pStyle w:val="Heading3"/>
        <w:rPr/>
      </w:pPr>
      <w:bookmarkStart w:colFirst="0" w:colLast="0" w:name="_o6udgfu1svuc" w:id="32"/>
      <w:bookmarkEnd w:id="32"/>
      <w:r w:rsidDel="00000000" w:rsidR="00000000" w:rsidRPr="00000000">
        <w:rPr>
          <w:b w:val="1"/>
          <w:color w:val="000000"/>
          <w:sz w:val="26"/>
          <w:szCs w:val="26"/>
          <w:rtl w:val="0"/>
        </w:rPr>
        <w:t xml:space="preserve">6.4 Payment Terms and Contractual Flexibility</w:t>
      </w:r>
      <w:r w:rsidDel="00000000" w:rsidR="00000000" w:rsidRPr="00000000">
        <w:rPr>
          <w:rtl w:val="0"/>
        </w:rPr>
      </w:r>
    </w:p>
    <w:p w:rsidR="00000000" w:rsidDel="00000000" w:rsidP="00000000" w:rsidRDefault="00000000" w:rsidRPr="00000000" w14:paraId="00000105">
      <w:pPr>
        <w:numPr>
          <w:ilvl w:val="0"/>
          <w:numId w:val="8"/>
        </w:numPr>
        <w:spacing w:before="200" w:lineRule="auto"/>
        <w:ind w:left="720" w:hanging="360"/>
        <w:rPr>
          <w:u w:val="none"/>
        </w:rPr>
      </w:pPr>
      <w:r w:rsidDel="00000000" w:rsidR="00000000" w:rsidRPr="00000000">
        <w:rPr>
          <w:b w:val="1"/>
          <w:rtl w:val="0"/>
        </w:rPr>
        <w:t xml:space="preserve">Payment Schedule:</w:t>
      </w:r>
      <w:r w:rsidDel="00000000" w:rsidR="00000000" w:rsidRPr="00000000">
        <w:rPr>
          <w:rtl w:val="0"/>
        </w:rPr>
        <w:t xml:space="preserve"> Whether milestone-based or annual, with any discount structures for multi-year commitments.  </w:t>
      </w:r>
    </w:p>
    <w:p w:rsidR="00000000" w:rsidDel="00000000" w:rsidP="00000000" w:rsidRDefault="00000000" w:rsidRPr="00000000" w14:paraId="00000106">
      <w:pPr>
        <w:numPr>
          <w:ilvl w:val="0"/>
          <w:numId w:val="8"/>
        </w:numPr>
        <w:ind w:left="720" w:hanging="360"/>
        <w:rPr>
          <w:u w:val="none"/>
        </w:rPr>
      </w:pPr>
      <w:r w:rsidDel="00000000" w:rsidR="00000000" w:rsidRPr="00000000">
        <w:rPr>
          <w:b w:val="1"/>
          <w:rtl w:val="0"/>
        </w:rPr>
        <w:t xml:space="preserve">Cancellation Provisions:</w:t>
      </w:r>
      <w:r w:rsidDel="00000000" w:rsidR="00000000" w:rsidRPr="00000000">
        <w:rPr>
          <w:rtl w:val="0"/>
        </w:rPr>
        <w:t xml:space="preserve"> Terms for early termination or re-scoping if regulatory demands change drastically.  </w:t>
      </w:r>
    </w:p>
    <w:p w:rsidR="00000000" w:rsidDel="00000000" w:rsidP="00000000" w:rsidRDefault="00000000" w:rsidRPr="00000000" w14:paraId="00000107">
      <w:pPr>
        <w:numPr>
          <w:ilvl w:val="0"/>
          <w:numId w:val="8"/>
        </w:numPr>
        <w:ind w:left="720" w:hanging="360"/>
        <w:rPr>
          <w:u w:val="none"/>
        </w:rPr>
      </w:pPr>
      <w:r w:rsidDel="00000000" w:rsidR="00000000" w:rsidRPr="00000000">
        <w:rPr>
          <w:b w:val="1"/>
          <w:rtl w:val="0"/>
        </w:rPr>
        <w:t xml:space="preserve">License True-Ups:</w:t>
      </w:r>
      <w:r w:rsidDel="00000000" w:rsidR="00000000" w:rsidRPr="00000000">
        <w:rPr>
          <w:rtl w:val="0"/>
        </w:rPr>
        <w:t xml:space="preserve"> Mechanisms to handle increased device counts or expansions mid-contract.</w:t>
      </w:r>
    </w:p>
    <w:p w:rsidR="00000000" w:rsidDel="00000000" w:rsidP="00000000" w:rsidRDefault="00000000" w:rsidRPr="00000000" w14:paraId="0000010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09">
      <w:pPr>
        <w:pStyle w:val="Heading2"/>
        <w:spacing w:after="0" w:before="200" w:lineRule="auto"/>
        <w:rPr/>
      </w:pPr>
      <w:bookmarkStart w:colFirst="0" w:colLast="0" w:name="_5s12mvy6udva" w:id="33"/>
      <w:bookmarkEnd w:id="33"/>
      <w:r w:rsidDel="00000000" w:rsidR="00000000" w:rsidRPr="00000000">
        <w:rPr>
          <w:b w:val="1"/>
          <w:sz w:val="34"/>
          <w:szCs w:val="34"/>
          <w:rtl w:val="0"/>
        </w:rPr>
        <w:t xml:space="preserve">7. Evaluation Criteria and Process</w:t>
      </w:r>
      <w:r w:rsidDel="00000000" w:rsidR="00000000" w:rsidRPr="00000000">
        <w:rPr>
          <w:rtl w:val="0"/>
        </w:rPr>
      </w:r>
    </w:p>
    <w:p w:rsidR="00000000" w:rsidDel="00000000" w:rsidP="00000000" w:rsidRDefault="00000000" w:rsidRPr="00000000" w14:paraId="0000010A">
      <w:pPr>
        <w:pStyle w:val="Heading3"/>
        <w:spacing w:before="200" w:lineRule="auto"/>
        <w:rPr/>
      </w:pPr>
      <w:bookmarkStart w:colFirst="0" w:colLast="0" w:name="_yp6gsbsbn7ds" w:id="34"/>
      <w:bookmarkEnd w:id="34"/>
      <w:r w:rsidDel="00000000" w:rsidR="00000000" w:rsidRPr="00000000">
        <w:rPr>
          <w:b w:val="1"/>
          <w:color w:val="000000"/>
          <w:sz w:val="26"/>
          <w:szCs w:val="26"/>
          <w:rtl w:val="0"/>
        </w:rPr>
        <w:t xml:space="preserve">7.1 Alignment with NIS2 Requirements and Technical Fit</w:t>
      </w:r>
      <w:r w:rsidDel="00000000" w:rsidR="00000000" w:rsidRPr="00000000">
        <w:rPr>
          <w:rtl w:val="0"/>
        </w:rPr>
      </w:r>
    </w:p>
    <w:p w:rsidR="00000000" w:rsidDel="00000000" w:rsidP="00000000" w:rsidRDefault="00000000" w:rsidRPr="00000000" w14:paraId="0000010B">
      <w:pPr>
        <w:numPr>
          <w:ilvl w:val="0"/>
          <w:numId w:val="40"/>
        </w:numPr>
        <w:spacing w:before="200" w:lineRule="auto"/>
        <w:ind w:left="720" w:hanging="360"/>
        <w:rPr>
          <w:u w:val="none"/>
        </w:rPr>
      </w:pPr>
      <w:r w:rsidDel="00000000" w:rsidR="00000000" w:rsidRPr="00000000">
        <w:rPr>
          <w:b w:val="1"/>
          <w:rtl w:val="0"/>
        </w:rPr>
        <w:t xml:space="preserve">Coverage: </w:t>
      </w:r>
      <w:r w:rsidDel="00000000" w:rsidR="00000000" w:rsidRPr="00000000">
        <w:rPr>
          <w:rtl w:val="0"/>
        </w:rPr>
        <w:t xml:space="preserve">Extent to which the proposed solution addresses each NIS2 domain (risk management, incident response, supply chain security).  </w:t>
      </w:r>
    </w:p>
    <w:p w:rsidR="00000000" w:rsidDel="00000000" w:rsidP="00000000" w:rsidRDefault="00000000" w:rsidRPr="00000000" w14:paraId="0000010C">
      <w:pPr>
        <w:numPr>
          <w:ilvl w:val="0"/>
          <w:numId w:val="40"/>
        </w:numPr>
        <w:ind w:left="720" w:hanging="360"/>
        <w:rPr>
          <w:u w:val="none"/>
        </w:rPr>
      </w:pPr>
      <w:r w:rsidDel="00000000" w:rsidR="00000000" w:rsidRPr="00000000">
        <w:rPr>
          <w:b w:val="1"/>
          <w:rtl w:val="0"/>
        </w:rPr>
        <w:t xml:space="preserve">Depth:</w:t>
      </w:r>
      <w:r w:rsidDel="00000000" w:rsidR="00000000" w:rsidRPr="00000000">
        <w:rPr>
          <w:rtl w:val="0"/>
        </w:rPr>
        <w:t xml:space="preserve"> Efficacy in discovering and protecting OT/ICS devices, typically more challenging than standard IT endpoints.</w:t>
      </w:r>
    </w:p>
    <w:p w:rsidR="00000000" w:rsidDel="00000000" w:rsidP="00000000" w:rsidRDefault="00000000" w:rsidRPr="00000000" w14:paraId="0000010D">
      <w:pPr>
        <w:pStyle w:val="Heading3"/>
        <w:spacing w:before="200" w:lineRule="auto"/>
        <w:rPr/>
      </w:pPr>
      <w:bookmarkStart w:colFirst="0" w:colLast="0" w:name="_d99c4etm6jeg" w:id="35"/>
      <w:bookmarkEnd w:id="35"/>
      <w:r w:rsidDel="00000000" w:rsidR="00000000" w:rsidRPr="00000000">
        <w:rPr>
          <w:b w:val="1"/>
          <w:color w:val="000000"/>
          <w:sz w:val="26"/>
          <w:szCs w:val="26"/>
          <w:rtl w:val="0"/>
        </w:rPr>
        <w:t xml:space="preserve">7.2 Total Cost of Ownership and ROI</w:t>
      </w:r>
      <w:r w:rsidDel="00000000" w:rsidR="00000000" w:rsidRPr="00000000">
        <w:rPr>
          <w:rtl w:val="0"/>
        </w:rPr>
      </w:r>
    </w:p>
    <w:p w:rsidR="00000000" w:rsidDel="00000000" w:rsidP="00000000" w:rsidRDefault="00000000" w:rsidRPr="00000000" w14:paraId="0000010E">
      <w:pPr>
        <w:numPr>
          <w:ilvl w:val="0"/>
          <w:numId w:val="15"/>
        </w:numPr>
        <w:spacing w:before="200" w:lineRule="auto"/>
        <w:ind w:left="720" w:hanging="360"/>
        <w:rPr>
          <w:u w:val="none"/>
        </w:rPr>
      </w:pPr>
      <w:r w:rsidDel="00000000" w:rsidR="00000000" w:rsidRPr="00000000">
        <w:rPr>
          <w:b w:val="1"/>
          <w:rtl w:val="0"/>
        </w:rPr>
        <w:t xml:space="preserve">Competitive Pricing:</w:t>
      </w:r>
      <w:r w:rsidDel="00000000" w:rsidR="00000000" w:rsidRPr="00000000">
        <w:rPr>
          <w:rtl w:val="0"/>
        </w:rPr>
        <w:t xml:space="preserve"> Comparison of licensing models and overall expenses.  </w:t>
      </w:r>
    </w:p>
    <w:p w:rsidR="00000000" w:rsidDel="00000000" w:rsidP="00000000" w:rsidRDefault="00000000" w:rsidRPr="00000000" w14:paraId="0000010F">
      <w:pPr>
        <w:numPr>
          <w:ilvl w:val="0"/>
          <w:numId w:val="15"/>
        </w:numPr>
        <w:ind w:left="720" w:hanging="360"/>
        <w:rPr>
          <w:u w:val="none"/>
        </w:rPr>
      </w:pPr>
      <w:r w:rsidDel="00000000" w:rsidR="00000000" w:rsidRPr="00000000">
        <w:rPr>
          <w:b w:val="1"/>
          <w:rtl w:val="0"/>
        </w:rPr>
        <w:t xml:space="preserve">Operational Savings:</w:t>
      </w:r>
      <w:r w:rsidDel="00000000" w:rsidR="00000000" w:rsidRPr="00000000">
        <w:rPr>
          <w:rtl w:val="0"/>
        </w:rPr>
        <w:t xml:space="preserve"> Efficiency gains from consolidating multiple security and compliance tasks in one platform.</w:t>
      </w:r>
    </w:p>
    <w:p w:rsidR="00000000" w:rsidDel="00000000" w:rsidP="00000000" w:rsidRDefault="00000000" w:rsidRPr="00000000" w14:paraId="00000110">
      <w:pPr>
        <w:pStyle w:val="Heading3"/>
        <w:spacing w:before="200" w:lineRule="auto"/>
        <w:rPr/>
      </w:pPr>
      <w:bookmarkStart w:colFirst="0" w:colLast="0" w:name="_7als21aadcgr" w:id="36"/>
      <w:bookmarkEnd w:id="36"/>
      <w:r w:rsidDel="00000000" w:rsidR="00000000" w:rsidRPr="00000000">
        <w:rPr>
          <w:b w:val="1"/>
          <w:color w:val="000000"/>
          <w:sz w:val="26"/>
          <w:szCs w:val="26"/>
          <w:rtl w:val="0"/>
        </w:rPr>
        <w:t xml:space="preserve">7.3 Vendor Reliability, Implementation Feasibility, and Support Model</w:t>
      </w:r>
      <w:r w:rsidDel="00000000" w:rsidR="00000000" w:rsidRPr="00000000">
        <w:rPr>
          <w:rtl w:val="0"/>
        </w:rPr>
      </w:r>
    </w:p>
    <w:p w:rsidR="00000000" w:rsidDel="00000000" w:rsidP="00000000" w:rsidRDefault="00000000" w:rsidRPr="00000000" w14:paraId="00000111">
      <w:pPr>
        <w:numPr>
          <w:ilvl w:val="0"/>
          <w:numId w:val="22"/>
        </w:numPr>
        <w:spacing w:before="200" w:lineRule="auto"/>
        <w:ind w:left="720" w:hanging="360"/>
        <w:rPr>
          <w:u w:val="none"/>
        </w:rPr>
      </w:pPr>
      <w:r w:rsidDel="00000000" w:rsidR="00000000" w:rsidRPr="00000000">
        <w:rPr>
          <w:b w:val="1"/>
          <w:rtl w:val="0"/>
        </w:rPr>
        <w:t xml:space="preserve">Project Plan: </w:t>
      </w:r>
      <w:r w:rsidDel="00000000" w:rsidR="00000000" w:rsidRPr="00000000">
        <w:rPr>
          <w:rtl w:val="0"/>
        </w:rPr>
        <w:t xml:space="preserve">Thoroughness of the proposed phased rollout, resource allocation, and risk mitigation.  </w:t>
      </w:r>
    </w:p>
    <w:p w:rsidR="00000000" w:rsidDel="00000000" w:rsidP="00000000" w:rsidRDefault="00000000" w:rsidRPr="00000000" w14:paraId="00000112">
      <w:pPr>
        <w:numPr>
          <w:ilvl w:val="0"/>
          <w:numId w:val="22"/>
        </w:numPr>
        <w:ind w:left="720" w:hanging="360"/>
        <w:rPr>
          <w:u w:val="none"/>
        </w:rPr>
      </w:pPr>
      <w:r w:rsidDel="00000000" w:rsidR="00000000" w:rsidRPr="00000000">
        <w:rPr>
          <w:b w:val="1"/>
          <w:rtl w:val="0"/>
        </w:rPr>
        <w:t xml:space="preserve">Stability and Support:</w:t>
      </w:r>
      <w:r w:rsidDel="00000000" w:rsidR="00000000" w:rsidRPr="00000000">
        <w:rPr>
          <w:rtl w:val="0"/>
        </w:rPr>
        <w:t xml:space="preserve"> Vendor’s ability to deliver timely patches, device updates, and top-tier customer service.</w:t>
      </w:r>
    </w:p>
    <w:p w:rsidR="00000000" w:rsidDel="00000000" w:rsidP="00000000" w:rsidRDefault="00000000" w:rsidRPr="00000000" w14:paraId="00000113">
      <w:pPr>
        <w:pStyle w:val="Heading3"/>
        <w:spacing w:before="200" w:lineRule="auto"/>
        <w:rPr/>
      </w:pPr>
      <w:bookmarkStart w:colFirst="0" w:colLast="0" w:name="_ycdxmmqye8pb" w:id="37"/>
      <w:bookmarkEnd w:id="37"/>
      <w:r w:rsidDel="00000000" w:rsidR="00000000" w:rsidRPr="00000000">
        <w:rPr>
          <w:b w:val="1"/>
          <w:color w:val="000000"/>
          <w:sz w:val="26"/>
          <w:szCs w:val="26"/>
          <w:rtl w:val="0"/>
        </w:rPr>
        <w:t xml:space="preserve">7.4 Risk Mitigation and Long-Term Partnership Potential</w:t>
      </w:r>
      <w:r w:rsidDel="00000000" w:rsidR="00000000" w:rsidRPr="00000000">
        <w:rPr>
          <w:rtl w:val="0"/>
        </w:rPr>
      </w:r>
    </w:p>
    <w:p w:rsidR="00000000" w:rsidDel="00000000" w:rsidP="00000000" w:rsidRDefault="00000000" w:rsidRPr="00000000" w14:paraId="00000114">
      <w:pPr>
        <w:numPr>
          <w:ilvl w:val="0"/>
          <w:numId w:val="10"/>
        </w:numPr>
        <w:spacing w:before="200" w:lineRule="auto"/>
        <w:ind w:left="720" w:hanging="360"/>
        <w:rPr>
          <w:u w:val="none"/>
        </w:rPr>
      </w:pPr>
      <w:r w:rsidDel="00000000" w:rsidR="00000000" w:rsidRPr="00000000">
        <w:rPr>
          <w:b w:val="1"/>
          <w:rtl w:val="0"/>
        </w:rPr>
        <w:t xml:space="preserve">Adaptability:</w:t>
      </w:r>
      <w:r w:rsidDel="00000000" w:rsidR="00000000" w:rsidRPr="00000000">
        <w:rPr>
          <w:rtl w:val="0"/>
        </w:rPr>
        <w:t xml:space="preserve"> The solution’s capacity to evolve as new technologies or threat vectors emerge.  </w:t>
      </w:r>
    </w:p>
    <w:p w:rsidR="00000000" w:rsidDel="00000000" w:rsidP="00000000" w:rsidRDefault="00000000" w:rsidRPr="00000000" w14:paraId="00000115">
      <w:pPr>
        <w:numPr>
          <w:ilvl w:val="0"/>
          <w:numId w:val="10"/>
        </w:numPr>
        <w:ind w:left="720" w:hanging="360"/>
        <w:rPr>
          <w:u w:val="none"/>
        </w:rPr>
      </w:pPr>
      <w:r w:rsidDel="00000000" w:rsidR="00000000" w:rsidRPr="00000000">
        <w:rPr>
          <w:b w:val="1"/>
          <w:rtl w:val="0"/>
        </w:rPr>
        <w:t xml:space="preserve">Strategic Alignment: </w:t>
      </w:r>
      <w:r w:rsidDel="00000000" w:rsidR="00000000" w:rsidRPr="00000000">
        <w:rPr>
          <w:rtl w:val="0"/>
        </w:rPr>
        <w:t xml:space="preserve">Potential for an ongoing security partnership beyond just the initial NIS2 compliance push.</w:t>
      </w:r>
    </w:p>
    <w:p w:rsidR="00000000" w:rsidDel="00000000" w:rsidP="00000000" w:rsidRDefault="00000000" w:rsidRPr="00000000" w14:paraId="00000116">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7">
      <w:pPr>
        <w:pStyle w:val="Heading2"/>
        <w:spacing w:after="0" w:before="200" w:lineRule="auto"/>
        <w:rPr/>
      </w:pPr>
      <w:bookmarkStart w:colFirst="0" w:colLast="0" w:name="_8sffqdwnzxk" w:id="38"/>
      <w:bookmarkEnd w:id="38"/>
      <w:r w:rsidDel="00000000" w:rsidR="00000000" w:rsidRPr="00000000">
        <w:rPr>
          <w:b w:val="1"/>
          <w:sz w:val="34"/>
          <w:szCs w:val="34"/>
          <w:rtl w:val="0"/>
        </w:rPr>
        <w:t xml:space="preserve">8. Proposal Submission Guidelines</w:t>
      </w:r>
      <w:r w:rsidDel="00000000" w:rsidR="00000000" w:rsidRPr="00000000">
        <w:rPr>
          <w:rtl w:val="0"/>
        </w:rPr>
      </w:r>
    </w:p>
    <w:p w:rsidR="00000000" w:rsidDel="00000000" w:rsidP="00000000" w:rsidRDefault="00000000" w:rsidRPr="00000000" w14:paraId="00000118">
      <w:pPr>
        <w:pStyle w:val="Heading3"/>
        <w:rPr>
          <w:b w:val="1"/>
          <w:color w:val="000000"/>
          <w:sz w:val="26"/>
          <w:szCs w:val="26"/>
        </w:rPr>
      </w:pPr>
      <w:bookmarkStart w:colFirst="0" w:colLast="0" w:name="_2hpryrs8o2ju" w:id="39"/>
      <w:bookmarkEnd w:id="39"/>
      <w:r w:rsidDel="00000000" w:rsidR="00000000" w:rsidRPr="00000000">
        <w:rPr>
          <w:b w:val="1"/>
          <w:color w:val="000000"/>
          <w:sz w:val="26"/>
          <w:szCs w:val="26"/>
          <w:rtl w:val="0"/>
        </w:rPr>
        <w:t xml:space="preserve">8.1 RFP Timeline and Deadlines</w:t>
      </w:r>
    </w:p>
    <w:tbl>
      <w:tblPr>
        <w:tblStyle w:val="Table1"/>
        <w:tblW w:w="55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75"/>
        <w:gridCol w:w="930"/>
        <w:tblGridChange w:id="0">
          <w:tblGrid>
            <w:gridCol w:w="4575"/>
            <w:gridCol w:w="93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jc w:val="center"/>
              <w:rPr/>
            </w:pPr>
            <w:r w:rsidDel="00000000" w:rsidR="00000000" w:rsidRPr="00000000">
              <w:rPr>
                <w:b w:val="1"/>
                <w:rtl w:val="0"/>
              </w:rPr>
              <w:t xml:space="preserve">Milestone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jc w:val="center"/>
              <w:rPr/>
            </w:pPr>
            <w:r w:rsidDel="00000000" w:rsidR="00000000" w:rsidRPr="00000000">
              <w:rPr>
                <w:b w:val="1"/>
                <w:rtl w:val="0"/>
              </w:rPr>
              <w:t xml:space="preserve">Date</w:t>
            </w:r>
            <w:r w:rsidDel="00000000" w:rsidR="00000000" w:rsidRPr="00000000">
              <w:rPr>
                <w:rtl w:val="0"/>
              </w:rPr>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rPr/>
            </w:pPr>
            <w:r w:rsidDel="00000000" w:rsidR="00000000" w:rsidRPr="00000000">
              <w:rPr>
                <w:rtl w:val="0"/>
              </w:rPr>
              <w:t xml:space="preserve">RFP Release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t xml:space="preserve">Vendor Q&amp;A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rPr/>
            </w:pPr>
            <w:r w:rsidDel="00000000" w:rsidR="00000000" w:rsidRPr="00000000">
              <w:rPr>
                <w:rtl w:val="0"/>
              </w:rPr>
              <w:t xml:space="preserve">Proposal Submission Deadline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0">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1">
            <w:pPr>
              <w:rPr/>
            </w:pPr>
            <w:r w:rsidDel="00000000" w:rsidR="00000000" w:rsidRPr="00000000">
              <w:rPr>
                <w:rtl w:val="0"/>
              </w:rPr>
              <w:t xml:space="preserve">Vendor Presentations / Demos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rPr/>
            </w:pPr>
            <w:r w:rsidDel="00000000" w:rsidR="00000000" w:rsidRPr="00000000">
              <w:rPr>
                <w:rtl w:val="0"/>
              </w:rPr>
              <w:t xml:space="preserve">Evaluation and Shortlist Notification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rPr/>
            </w:pPr>
            <w:r w:rsidDel="00000000" w:rsidR="00000000" w:rsidRPr="00000000">
              <w:rPr>
                <w:rtl w:val="0"/>
              </w:rPr>
              <w:t xml:space="preserve">Final Vendor Selection and Contract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t xml:space="preserve">[Date]</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rPr/>
            </w:pPr>
            <w:r w:rsidDel="00000000" w:rsidR="00000000" w:rsidRPr="00000000">
              <w:rPr>
                <w:rtl w:val="0"/>
              </w:rPr>
              <w:t xml:space="preserve">Project Kick-Off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rPr/>
            </w:pPr>
            <w:r w:rsidDel="00000000" w:rsidR="00000000" w:rsidRPr="00000000">
              <w:rPr>
                <w:rtl w:val="0"/>
              </w:rPr>
              <w:t xml:space="preserve">[Date]</w:t>
            </w:r>
          </w:p>
        </w:tc>
      </w:tr>
    </w:tbl>
    <w:p w:rsidR="00000000" w:rsidDel="00000000" w:rsidP="00000000" w:rsidRDefault="00000000" w:rsidRPr="00000000" w14:paraId="00000129">
      <w:pPr>
        <w:pStyle w:val="Heading3"/>
        <w:rPr/>
      </w:pPr>
      <w:bookmarkStart w:colFirst="0" w:colLast="0" w:name="_ipkii31sqk6q" w:id="40"/>
      <w:bookmarkEnd w:id="40"/>
      <w:r w:rsidDel="00000000" w:rsidR="00000000" w:rsidRPr="00000000">
        <w:rPr>
          <w:b w:val="1"/>
          <w:color w:val="000000"/>
          <w:sz w:val="26"/>
          <w:szCs w:val="26"/>
          <w:rtl w:val="0"/>
        </w:rPr>
        <w:t xml:space="preserve">8.2 Proposal Structure and Required Components</w:t>
      </w:r>
      <w:r w:rsidDel="00000000" w:rsidR="00000000" w:rsidRPr="00000000">
        <w:rPr>
          <w:rtl w:val="0"/>
        </w:rPr>
      </w:r>
    </w:p>
    <w:p w:rsidR="00000000" w:rsidDel="00000000" w:rsidP="00000000" w:rsidRDefault="00000000" w:rsidRPr="00000000" w14:paraId="0000012A">
      <w:pPr>
        <w:numPr>
          <w:ilvl w:val="0"/>
          <w:numId w:val="37"/>
        </w:numPr>
        <w:spacing w:before="200" w:lineRule="auto"/>
        <w:ind w:left="720" w:hanging="360"/>
        <w:rPr>
          <w:u w:val="none"/>
        </w:rPr>
      </w:pPr>
      <w:r w:rsidDel="00000000" w:rsidR="00000000" w:rsidRPr="00000000">
        <w:rPr>
          <w:rtl w:val="0"/>
        </w:rPr>
        <w:t xml:space="preserve">Executive Summary (2–3 pages)  </w:t>
      </w:r>
    </w:p>
    <w:p w:rsidR="00000000" w:rsidDel="00000000" w:rsidP="00000000" w:rsidRDefault="00000000" w:rsidRPr="00000000" w14:paraId="0000012B">
      <w:pPr>
        <w:numPr>
          <w:ilvl w:val="0"/>
          <w:numId w:val="37"/>
        </w:numPr>
        <w:ind w:left="720" w:hanging="360"/>
        <w:rPr>
          <w:u w:val="none"/>
        </w:rPr>
      </w:pPr>
      <w:r w:rsidDel="00000000" w:rsidR="00000000" w:rsidRPr="00000000">
        <w:rPr>
          <w:rtl w:val="0"/>
        </w:rPr>
        <w:t xml:space="preserve">Company Background and Qualifications  </w:t>
      </w:r>
    </w:p>
    <w:p w:rsidR="00000000" w:rsidDel="00000000" w:rsidP="00000000" w:rsidRDefault="00000000" w:rsidRPr="00000000" w14:paraId="0000012C">
      <w:pPr>
        <w:numPr>
          <w:ilvl w:val="0"/>
          <w:numId w:val="37"/>
        </w:numPr>
        <w:ind w:left="720" w:hanging="360"/>
        <w:rPr>
          <w:u w:val="none"/>
        </w:rPr>
      </w:pPr>
      <w:r w:rsidDel="00000000" w:rsidR="00000000" w:rsidRPr="00000000">
        <w:rPr>
          <w:rtl w:val="0"/>
        </w:rPr>
        <w:t xml:space="preserve">Technical/Functional Proposal (addressing Section 3 requirements in detail)  </w:t>
      </w:r>
    </w:p>
    <w:p w:rsidR="00000000" w:rsidDel="00000000" w:rsidP="00000000" w:rsidRDefault="00000000" w:rsidRPr="00000000" w14:paraId="0000012D">
      <w:pPr>
        <w:numPr>
          <w:ilvl w:val="0"/>
          <w:numId w:val="37"/>
        </w:numPr>
        <w:ind w:left="720" w:hanging="360"/>
        <w:rPr>
          <w:u w:val="none"/>
        </w:rPr>
      </w:pPr>
      <w:r w:rsidDel="00000000" w:rsidR="00000000" w:rsidRPr="00000000">
        <w:rPr>
          <w:rtl w:val="0"/>
        </w:rPr>
        <w:t xml:space="preserve">Implementation Plan and Timeline  </w:t>
      </w:r>
    </w:p>
    <w:p w:rsidR="00000000" w:rsidDel="00000000" w:rsidP="00000000" w:rsidRDefault="00000000" w:rsidRPr="00000000" w14:paraId="0000012E">
      <w:pPr>
        <w:numPr>
          <w:ilvl w:val="0"/>
          <w:numId w:val="37"/>
        </w:numPr>
        <w:ind w:left="720" w:hanging="360"/>
        <w:rPr>
          <w:u w:val="none"/>
        </w:rPr>
      </w:pPr>
      <w:r w:rsidDel="00000000" w:rsidR="00000000" w:rsidRPr="00000000">
        <w:rPr>
          <w:rtl w:val="0"/>
        </w:rPr>
        <w:t xml:space="preserve">Pricing and Licensing Model  </w:t>
      </w:r>
    </w:p>
    <w:p w:rsidR="00000000" w:rsidDel="00000000" w:rsidP="00000000" w:rsidRDefault="00000000" w:rsidRPr="00000000" w14:paraId="0000012F">
      <w:pPr>
        <w:numPr>
          <w:ilvl w:val="0"/>
          <w:numId w:val="37"/>
        </w:numPr>
        <w:ind w:left="720" w:hanging="360"/>
        <w:rPr>
          <w:u w:val="none"/>
        </w:rPr>
      </w:pPr>
      <w:r w:rsidDel="00000000" w:rsidR="00000000" w:rsidRPr="00000000">
        <w:rPr>
          <w:rtl w:val="0"/>
        </w:rPr>
        <w:t xml:space="preserve">References, Case Studies, and Certifications  </w:t>
      </w:r>
    </w:p>
    <w:p w:rsidR="00000000" w:rsidDel="00000000" w:rsidP="00000000" w:rsidRDefault="00000000" w:rsidRPr="00000000" w14:paraId="00000130">
      <w:pPr>
        <w:numPr>
          <w:ilvl w:val="0"/>
          <w:numId w:val="37"/>
        </w:numPr>
        <w:ind w:left="720" w:hanging="360"/>
        <w:rPr>
          <w:u w:val="none"/>
        </w:rPr>
      </w:pPr>
      <w:r w:rsidDel="00000000" w:rsidR="00000000" w:rsidRPr="00000000">
        <w:rPr>
          <w:rtl w:val="0"/>
        </w:rPr>
        <w:t xml:space="preserve">Appendices (if needed)</w:t>
      </w:r>
    </w:p>
    <w:p w:rsidR="00000000" w:rsidDel="00000000" w:rsidP="00000000" w:rsidRDefault="00000000" w:rsidRPr="00000000" w14:paraId="00000131">
      <w:pPr>
        <w:pStyle w:val="Heading3"/>
        <w:rPr/>
      </w:pPr>
      <w:bookmarkStart w:colFirst="0" w:colLast="0" w:name="_o3vkcwev4tvf" w:id="41"/>
      <w:bookmarkEnd w:id="41"/>
      <w:r w:rsidDel="00000000" w:rsidR="00000000" w:rsidRPr="00000000">
        <w:rPr>
          <w:b w:val="1"/>
          <w:color w:val="000000"/>
          <w:sz w:val="26"/>
          <w:szCs w:val="26"/>
          <w:rtl w:val="0"/>
        </w:rPr>
        <w:t xml:space="preserve">8.3 Communication, Clarifications, and Q&amp;A</w:t>
      </w:r>
      <w:r w:rsidDel="00000000" w:rsidR="00000000" w:rsidRPr="00000000">
        <w:rPr>
          <w:rtl w:val="0"/>
        </w:rPr>
      </w:r>
    </w:p>
    <w:p w:rsidR="00000000" w:rsidDel="00000000" w:rsidP="00000000" w:rsidRDefault="00000000" w:rsidRPr="00000000" w14:paraId="00000132">
      <w:pPr>
        <w:numPr>
          <w:ilvl w:val="0"/>
          <w:numId w:val="31"/>
        </w:numPr>
        <w:spacing w:before="200" w:lineRule="auto"/>
        <w:ind w:left="720" w:hanging="360"/>
        <w:rPr>
          <w:u w:val="none"/>
        </w:rPr>
      </w:pPr>
      <w:r w:rsidDel="00000000" w:rsidR="00000000" w:rsidRPr="00000000">
        <w:rPr>
          <w:b w:val="1"/>
          <w:rtl w:val="0"/>
        </w:rPr>
        <w:t xml:space="preserve">Primary Point of Contact: </w:t>
      </w:r>
      <w:r w:rsidDel="00000000" w:rsidR="00000000" w:rsidRPr="00000000">
        <w:rPr>
          <w:rtl w:val="0"/>
        </w:rPr>
        <w:t xml:space="preserve">[Name, Email, Phone]  </w:t>
      </w:r>
    </w:p>
    <w:p w:rsidR="00000000" w:rsidDel="00000000" w:rsidP="00000000" w:rsidRDefault="00000000" w:rsidRPr="00000000" w14:paraId="00000133">
      <w:pPr>
        <w:numPr>
          <w:ilvl w:val="0"/>
          <w:numId w:val="31"/>
        </w:numPr>
        <w:ind w:left="720" w:hanging="360"/>
        <w:rPr>
          <w:u w:val="none"/>
        </w:rPr>
      </w:pPr>
      <w:r w:rsidDel="00000000" w:rsidR="00000000" w:rsidRPr="00000000">
        <w:rPr>
          <w:rtl w:val="0"/>
        </w:rPr>
        <w:t xml:space="preserve">All questions must be submitted in writing by the specified date.  </w:t>
      </w:r>
    </w:p>
    <w:p w:rsidR="00000000" w:rsidDel="00000000" w:rsidP="00000000" w:rsidRDefault="00000000" w:rsidRPr="00000000" w14:paraId="00000134">
      <w:pPr>
        <w:numPr>
          <w:ilvl w:val="0"/>
          <w:numId w:val="31"/>
        </w:numPr>
        <w:ind w:left="720" w:hanging="360"/>
        <w:rPr>
          <w:u w:val="none"/>
        </w:rPr>
      </w:pPr>
      <w:r w:rsidDel="00000000" w:rsidR="00000000" w:rsidRPr="00000000">
        <w:rPr>
          <w:rtl w:val="0"/>
        </w:rPr>
        <w:t xml:space="preserve">Clarifications or additional information will be shared with all participating vendors to ensure fairness.</w:t>
      </w:r>
    </w:p>
    <w:p w:rsidR="00000000" w:rsidDel="00000000" w:rsidP="00000000" w:rsidRDefault="00000000" w:rsidRPr="00000000" w14:paraId="00000135">
      <w:pPr>
        <w:pStyle w:val="Heading3"/>
        <w:rPr>
          <w:b w:val="1"/>
          <w:color w:val="000000"/>
          <w:sz w:val="26"/>
          <w:szCs w:val="26"/>
        </w:rPr>
      </w:pPr>
      <w:bookmarkStart w:colFirst="0" w:colLast="0" w:name="_jeg1burrik0p" w:id="42"/>
      <w:bookmarkEnd w:id="42"/>
      <w:r w:rsidDel="00000000" w:rsidR="00000000" w:rsidRPr="00000000">
        <w:rPr>
          <w:b w:val="1"/>
          <w:color w:val="000000"/>
          <w:sz w:val="26"/>
          <w:szCs w:val="26"/>
          <w:rtl w:val="0"/>
        </w:rPr>
        <w:t xml:space="preserve">8.4 Final Selection, Negotiation, and Award</w:t>
      </w:r>
    </w:p>
    <w:p w:rsidR="00000000" w:rsidDel="00000000" w:rsidP="00000000" w:rsidRDefault="00000000" w:rsidRPr="00000000" w14:paraId="00000136">
      <w:pPr>
        <w:numPr>
          <w:ilvl w:val="0"/>
          <w:numId w:val="2"/>
        </w:numPr>
        <w:spacing w:before="200" w:lineRule="auto"/>
        <w:ind w:left="720" w:hanging="360"/>
        <w:rPr>
          <w:u w:val="none"/>
        </w:rPr>
      </w:pPr>
      <w:r w:rsidDel="00000000" w:rsidR="00000000" w:rsidRPr="00000000">
        <w:rPr>
          <w:rtl w:val="0"/>
        </w:rPr>
        <w:t xml:space="preserve">The selection committee will evaluate proposals based on compliance coverage, feasibility, cost, and vendor credentials.  </w:t>
      </w:r>
    </w:p>
    <w:p w:rsidR="00000000" w:rsidDel="00000000" w:rsidP="00000000" w:rsidRDefault="00000000" w:rsidRPr="00000000" w14:paraId="00000137">
      <w:pPr>
        <w:numPr>
          <w:ilvl w:val="0"/>
          <w:numId w:val="2"/>
        </w:numPr>
        <w:ind w:left="720" w:hanging="360"/>
        <w:rPr>
          <w:u w:val="none"/>
        </w:rPr>
      </w:pPr>
      <w:r w:rsidDel="00000000" w:rsidR="00000000" w:rsidRPr="00000000">
        <w:rPr>
          <w:rtl w:val="0"/>
        </w:rPr>
        <w:t xml:space="preserve">Shortlisted vendors may be invited for product demonstrations, PoC pilots, or technical deep dives.  </w:t>
      </w:r>
    </w:p>
    <w:p w:rsidR="00000000" w:rsidDel="00000000" w:rsidP="00000000" w:rsidRDefault="00000000" w:rsidRPr="00000000" w14:paraId="00000138">
      <w:pPr>
        <w:numPr>
          <w:ilvl w:val="0"/>
          <w:numId w:val="2"/>
        </w:numPr>
        <w:ind w:left="720" w:hanging="360"/>
        <w:rPr>
          <w:u w:val="none"/>
        </w:rPr>
      </w:pPr>
      <w:r w:rsidDel="00000000" w:rsidR="00000000" w:rsidRPr="00000000">
        <w:rPr>
          <w:rtl w:val="0"/>
        </w:rPr>
        <w:t xml:space="preserve">Contract negotiations and final award will follow the evaluation phase.</w:t>
      </w:r>
    </w:p>
    <w:p w:rsidR="00000000" w:rsidDel="00000000" w:rsidP="00000000" w:rsidRDefault="00000000" w:rsidRPr="00000000" w14:paraId="0000013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A">
      <w:pPr>
        <w:pStyle w:val="Heading2"/>
        <w:spacing w:after="0" w:before="200" w:lineRule="auto"/>
        <w:rPr>
          <w:b w:val="1"/>
          <w:sz w:val="34"/>
          <w:szCs w:val="34"/>
        </w:rPr>
      </w:pPr>
      <w:bookmarkStart w:colFirst="0" w:colLast="0" w:name="_wy9awga052wm" w:id="43"/>
      <w:bookmarkEnd w:id="43"/>
      <w:r w:rsidDel="00000000" w:rsidR="00000000" w:rsidRPr="00000000">
        <w:rPr>
          <w:b w:val="1"/>
          <w:sz w:val="34"/>
          <w:szCs w:val="34"/>
          <w:rtl w:val="0"/>
        </w:rPr>
        <w:t xml:space="preserve">9. Legal and Contractual Considerations</w:t>
      </w:r>
    </w:p>
    <w:p w:rsidR="00000000" w:rsidDel="00000000" w:rsidP="00000000" w:rsidRDefault="00000000" w:rsidRPr="00000000" w14:paraId="0000013B">
      <w:pPr>
        <w:pStyle w:val="Heading3"/>
        <w:rPr/>
      </w:pPr>
      <w:bookmarkStart w:colFirst="0" w:colLast="0" w:name="_wpfzvjnftgu4" w:id="44"/>
      <w:bookmarkEnd w:id="44"/>
      <w:r w:rsidDel="00000000" w:rsidR="00000000" w:rsidRPr="00000000">
        <w:rPr>
          <w:b w:val="1"/>
          <w:color w:val="000000"/>
          <w:sz w:val="26"/>
          <w:szCs w:val="26"/>
          <w:rtl w:val="0"/>
        </w:rPr>
        <w:t xml:space="preserve">9.1 Confidentiality, Non-Disclosure, and Data Handling</w:t>
      </w:r>
      <w:r w:rsidDel="00000000" w:rsidR="00000000" w:rsidRPr="00000000">
        <w:rPr>
          <w:rtl w:val="0"/>
        </w:rPr>
      </w:r>
    </w:p>
    <w:p w:rsidR="00000000" w:rsidDel="00000000" w:rsidP="00000000" w:rsidRDefault="00000000" w:rsidRPr="00000000" w14:paraId="0000013C">
      <w:pPr>
        <w:numPr>
          <w:ilvl w:val="0"/>
          <w:numId w:val="14"/>
        </w:numPr>
        <w:spacing w:before="200" w:lineRule="auto"/>
        <w:ind w:left="720" w:hanging="360"/>
        <w:rPr>
          <w:u w:val="none"/>
        </w:rPr>
      </w:pPr>
      <w:r w:rsidDel="00000000" w:rsidR="00000000" w:rsidRPr="00000000">
        <w:rPr>
          <w:rtl w:val="0"/>
        </w:rPr>
        <w:t xml:space="preserve">RFP materials are confidential and may not be shared with third parties without prior consent.  </w:t>
      </w:r>
    </w:p>
    <w:p w:rsidR="00000000" w:rsidDel="00000000" w:rsidP="00000000" w:rsidRDefault="00000000" w:rsidRPr="00000000" w14:paraId="0000013D">
      <w:pPr>
        <w:numPr>
          <w:ilvl w:val="0"/>
          <w:numId w:val="14"/>
        </w:numPr>
        <w:ind w:left="720" w:hanging="360"/>
        <w:rPr>
          <w:u w:val="none"/>
        </w:rPr>
      </w:pPr>
      <w:r w:rsidDel="00000000" w:rsidR="00000000" w:rsidRPr="00000000">
        <w:rPr>
          <w:rtl w:val="0"/>
        </w:rPr>
        <w:t xml:space="preserve">Vendors must comply with EU data protection laws (e.g., GDPR) and commit to safeguarding sensitive or proprietary information.</w:t>
      </w:r>
    </w:p>
    <w:p w:rsidR="00000000" w:rsidDel="00000000" w:rsidP="00000000" w:rsidRDefault="00000000" w:rsidRPr="00000000" w14:paraId="0000013E">
      <w:pPr>
        <w:pStyle w:val="Heading3"/>
        <w:rPr/>
      </w:pPr>
      <w:bookmarkStart w:colFirst="0" w:colLast="0" w:name="_kuqluq757ta6" w:id="45"/>
      <w:bookmarkEnd w:id="45"/>
      <w:r w:rsidDel="00000000" w:rsidR="00000000" w:rsidRPr="00000000">
        <w:rPr>
          <w:b w:val="1"/>
          <w:color w:val="000000"/>
          <w:sz w:val="26"/>
          <w:szCs w:val="26"/>
          <w:rtl w:val="0"/>
        </w:rPr>
        <w:t xml:space="preserve">9.2 Liability, Indemnification, and Insurance</w:t>
      </w:r>
      <w:r w:rsidDel="00000000" w:rsidR="00000000" w:rsidRPr="00000000">
        <w:rPr>
          <w:rtl w:val="0"/>
        </w:rPr>
      </w:r>
    </w:p>
    <w:p w:rsidR="00000000" w:rsidDel="00000000" w:rsidP="00000000" w:rsidRDefault="00000000" w:rsidRPr="00000000" w14:paraId="0000013F">
      <w:pPr>
        <w:numPr>
          <w:ilvl w:val="0"/>
          <w:numId w:val="21"/>
        </w:numPr>
        <w:spacing w:before="200" w:lineRule="auto"/>
        <w:ind w:left="720" w:hanging="360"/>
        <w:rPr>
          <w:u w:val="none"/>
        </w:rPr>
      </w:pPr>
      <w:r w:rsidDel="00000000" w:rsidR="00000000" w:rsidRPr="00000000">
        <w:rPr>
          <w:rtl w:val="0"/>
        </w:rPr>
        <w:t xml:space="preserve">Vendors should carry cyber liability insurance relevant to the scale of our organization’s operations.  </w:t>
      </w:r>
    </w:p>
    <w:p w:rsidR="00000000" w:rsidDel="00000000" w:rsidP="00000000" w:rsidRDefault="00000000" w:rsidRPr="00000000" w14:paraId="00000140">
      <w:pPr>
        <w:numPr>
          <w:ilvl w:val="0"/>
          <w:numId w:val="21"/>
        </w:numPr>
        <w:ind w:left="720" w:hanging="360"/>
        <w:rPr>
          <w:u w:val="none"/>
        </w:rPr>
      </w:pPr>
      <w:r w:rsidDel="00000000" w:rsidR="00000000" w:rsidRPr="00000000">
        <w:rPr>
          <w:rtl w:val="0"/>
        </w:rPr>
        <w:t xml:space="preserve">Indemnification clauses for data breaches or compliance failures caused by the vendor’s negligence will be discussed in contract negotiations.</w:t>
      </w:r>
    </w:p>
    <w:p w:rsidR="00000000" w:rsidDel="00000000" w:rsidP="00000000" w:rsidRDefault="00000000" w:rsidRPr="00000000" w14:paraId="00000141">
      <w:pPr>
        <w:pStyle w:val="Heading3"/>
        <w:rPr/>
      </w:pPr>
      <w:bookmarkStart w:colFirst="0" w:colLast="0" w:name="_tsif0k2uy0hu" w:id="46"/>
      <w:bookmarkEnd w:id="46"/>
      <w:r w:rsidDel="00000000" w:rsidR="00000000" w:rsidRPr="00000000">
        <w:rPr>
          <w:b w:val="1"/>
          <w:color w:val="000000"/>
          <w:sz w:val="26"/>
          <w:szCs w:val="26"/>
          <w:rtl w:val="0"/>
        </w:rPr>
        <w:t xml:space="preserve">9.3 Contract Duration and Termination Provisions</w:t>
      </w:r>
      <w:r w:rsidDel="00000000" w:rsidR="00000000" w:rsidRPr="00000000">
        <w:rPr>
          <w:rtl w:val="0"/>
        </w:rPr>
      </w:r>
    </w:p>
    <w:p w:rsidR="00000000" w:rsidDel="00000000" w:rsidP="00000000" w:rsidRDefault="00000000" w:rsidRPr="00000000" w14:paraId="00000142">
      <w:pPr>
        <w:numPr>
          <w:ilvl w:val="0"/>
          <w:numId w:val="38"/>
        </w:numPr>
        <w:spacing w:before="200" w:lineRule="auto"/>
        <w:ind w:left="720" w:hanging="360"/>
        <w:rPr>
          <w:u w:val="none"/>
        </w:rPr>
      </w:pPr>
      <w:r w:rsidDel="00000000" w:rsidR="00000000" w:rsidRPr="00000000">
        <w:rPr>
          <w:rtl w:val="0"/>
        </w:rPr>
        <w:t xml:space="preserve">Typical contract durations range from 1–3 years, with renewal or extension options.  </w:t>
      </w:r>
    </w:p>
    <w:p w:rsidR="00000000" w:rsidDel="00000000" w:rsidP="00000000" w:rsidRDefault="00000000" w:rsidRPr="00000000" w14:paraId="00000143">
      <w:pPr>
        <w:numPr>
          <w:ilvl w:val="0"/>
          <w:numId w:val="38"/>
        </w:numPr>
        <w:ind w:left="720" w:hanging="360"/>
        <w:rPr>
          <w:u w:val="none"/>
        </w:rPr>
      </w:pPr>
      <w:r w:rsidDel="00000000" w:rsidR="00000000" w:rsidRPr="00000000">
        <w:rPr>
          <w:rtl w:val="0"/>
        </w:rPr>
        <w:t xml:space="preserve">Termination for cause (failure to meet SLA or compliance obligations) or convenience may apply.  </w:t>
      </w:r>
    </w:p>
    <w:p w:rsidR="00000000" w:rsidDel="00000000" w:rsidP="00000000" w:rsidRDefault="00000000" w:rsidRPr="00000000" w14:paraId="00000144">
      <w:pPr>
        <w:numPr>
          <w:ilvl w:val="0"/>
          <w:numId w:val="38"/>
        </w:numPr>
        <w:ind w:left="720" w:hanging="360"/>
        <w:rPr>
          <w:u w:val="none"/>
        </w:rPr>
      </w:pPr>
      <w:r w:rsidDel="00000000" w:rsidR="00000000" w:rsidRPr="00000000">
        <w:rPr>
          <w:rtl w:val="0"/>
        </w:rPr>
        <w:t xml:space="preserve">Transition or decommissioning assistance if the organization elects to switch solutions.</w:t>
      </w:r>
    </w:p>
    <w:p w:rsidR="00000000" w:rsidDel="00000000" w:rsidP="00000000" w:rsidRDefault="00000000" w:rsidRPr="00000000" w14:paraId="00000145">
      <w:pPr>
        <w:pStyle w:val="Heading3"/>
        <w:rPr/>
      </w:pPr>
      <w:bookmarkStart w:colFirst="0" w:colLast="0" w:name="_rgzegjrs0iye" w:id="47"/>
      <w:bookmarkEnd w:id="47"/>
      <w:r w:rsidDel="00000000" w:rsidR="00000000" w:rsidRPr="00000000">
        <w:rPr>
          <w:b w:val="1"/>
          <w:color w:val="000000"/>
          <w:sz w:val="26"/>
          <w:szCs w:val="26"/>
          <w:rtl w:val="0"/>
        </w:rPr>
        <w:t xml:space="preserve">9.4 Intellectual Property and Ownership</w:t>
      </w:r>
      <w:r w:rsidDel="00000000" w:rsidR="00000000" w:rsidRPr="00000000">
        <w:rPr>
          <w:rtl w:val="0"/>
        </w:rPr>
      </w:r>
    </w:p>
    <w:p w:rsidR="00000000" w:rsidDel="00000000" w:rsidP="00000000" w:rsidRDefault="00000000" w:rsidRPr="00000000" w14:paraId="00000146">
      <w:pPr>
        <w:numPr>
          <w:ilvl w:val="0"/>
          <w:numId w:val="16"/>
        </w:numPr>
        <w:spacing w:before="200" w:lineRule="auto"/>
        <w:ind w:left="720" w:hanging="360"/>
        <w:rPr>
          <w:u w:val="none"/>
        </w:rPr>
      </w:pPr>
      <w:r w:rsidDel="00000000" w:rsidR="00000000" w:rsidRPr="00000000">
        <w:rPr>
          <w:b w:val="1"/>
          <w:rtl w:val="0"/>
        </w:rPr>
        <w:t xml:space="preserve">Pre-Existing IP:</w:t>
      </w:r>
      <w:r w:rsidDel="00000000" w:rsidR="00000000" w:rsidRPr="00000000">
        <w:rPr>
          <w:rtl w:val="0"/>
        </w:rPr>
        <w:t xml:space="preserve"> Vendors retain ownership of their solutions, modules, or code.  </w:t>
      </w:r>
    </w:p>
    <w:p w:rsidR="00000000" w:rsidDel="00000000" w:rsidP="00000000" w:rsidRDefault="00000000" w:rsidRPr="00000000" w14:paraId="00000147">
      <w:pPr>
        <w:numPr>
          <w:ilvl w:val="0"/>
          <w:numId w:val="16"/>
        </w:numPr>
        <w:ind w:left="720" w:hanging="360"/>
        <w:rPr>
          <w:u w:val="none"/>
        </w:rPr>
      </w:pPr>
      <w:r w:rsidDel="00000000" w:rsidR="00000000" w:rsidRPr="00000000">
        <w:rPr>
          <w:b w:val="1"/>
          <w:rtl w:val="0"/>
        </w:rPr>
        <w:t xml:space="preserve">Custom Developments: </w:t>
      </w:r>
      <w:r w:rsidDel="00000000" w:rsidR="00000000" w:rsidRPr="00000000">
        <w:rPr>
          <w:rtl w:val="0"/>
        </w:rPr>
        <w:t xml:space="preserve">Must be clarified in the contract if any specialized integrations or code are co-developed.</w:t>
      </w:r>
    </w:p>
    <w:p w:rsidR="00000000" w:rsidDel="00000000" w:rsidP="00000000" w:rsidRDefault="00000000" w:rsidRPr="00000000" w14:paraId="00000148">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9">
      <w:pPr>
        <w:pStyle w:val="Heading2"/>
        <w:spacing w:after="0" w:before="200" w:lineRule="auto"/>
        <w:rPr/>
      </w:pPr>
      <w:bookmarkStart w:colFirst="0" w:colLast="0" w:name="_dyf0ahjl1lli" w:id="48"/>
      <w:bookmarkEnd w:id="48"/>
      <w:r w:rsidDel="00000000" w:rsidR="00000000" w:rsidRPr="00000000">
        <w:rPr>
          <w:b w:val="1"/>
          <w:sz w:val="34"/>
          <w:szCs w:val="34"/>
          <w:rtl w:val="0"/>
        </w:rPr>
        <w:t xml:space="preserve">10. Appendices (Optional)</w:t>
      </w:r>
      <w:r w:rsidDel="00000000" w:rsidR="00000000" w:rsidRPr="00000000">
        <w:rPr>
          <w:rtl w:val="0"/>
        </w:rPr>
      </w:r>
    </w:p>
    <w:p w:rsidR="00000000" w:rsidDel="00000000" w:rsidP="00000000" w:rsidRDefault="00000000" w:rsidRPr="00000000" w14:paraId="0000014A">
      <w:pPr>
        <w:numPr>
          <w:ilvl w:val="0"/>
          <w:numId w:val="48"/>
        </w:numPr>
        <w:spacing w:before="200" w:lineRule="auto"/>
        <w:ind w:left="720" w:hanging="360"/>
        <w:rPr>
          <w:u w:val="none"/>
        </w:rPr>
      </w:pPr>
      <w:r w:rsidDel="00000000" w:rsidR="00000000" w:rsidRPr="00000000">
        <w:rPr>
          <w:b w:val="1"/>
          <w:rtl w:val="0"/>
        </w:rPr>
        <w:t xml:space="preserve">Detailed NIS2 Requirements Mapping: </w:t>
      </w:r>
      <w:r w:rsidDel="00000000" w:rsidR="00000000" w:rsidRPr="00000000">
        <w:rPr>
          <w:rtl w:val="0"/>
        </w:rPr>
        <w:t xml:space="preserve">Cross-reference solution features to specific articles and controls in NIS2.  </w:t>
      </w:r>
    </w:p>
    <w:p w:rsidR="00000000" w:rsidDel="00000000" w:rsidP="00000000" w:rsidRDefault="00000000" w:rsidRPr="00000000" w14:paraId="0000014B">
      <w:pPr>
        <w:numPr>
          <w:ilvl w:val="0"/>
          <w:numId w:val="48"/>
        </w:numPr>
        <w:ind w:left="720" w:hanging="360"/>
        <w:rPr>
          <w:u w:val="none"/>
        </w:rPr>
      </w:pPr>
      <w:r w:rsidDel="00000000" w:rsidR="00000000" w:rsidRPr="00000000">
        <w:rPr>
          <w:b w:val="1"/>
          <w:rtl w:val="0"/>
        </w:rPr>
        <w:t xml:space="preserve">Current Network Architecture:</w:t>
      </w:r>
      <w:r w:rsidDel="00000000" w:rsidR="00000000" w:rsidRPr="00000000">
        <w:rPr>
          <w:rtl w:val="0"/>
        </w:rPr>
        <w:t xml:space="preserve"> High-level diagrams or inventory data for scoping.  </w:t>
      </w:r>
    </w:p>
    <w:p w:rsidR="00000000" w:rsidDel="00000000" w:rsidP="00000000" w:rsidRDefault="00000000" w:rsidRPr="00000000" w14:paraId="0000014C">
      <w:pPr>
        <w:numPr>
          <w:ilvl w:val="0"/>
          <w:numId w:val="48"/>
        </w:numPr>
        <w:ind w:left="720" w:hanging="360"/>
        <w:rPr>
          <w:u w:val="none"/>
        </w:rPr>
      </w:pPr>
      <w:r w:rsidDel="00000000" w:rsidR="00000000" w:rsidRPr="00000000">
        <w:rPr>
          <w:b w:val="1"/>
          <w:rtl w:val="0"/>
        </w:rPr>
        <w:t xml:space="preserve">Sample Contract or MSA:</w:t>
      </w:r>
      <w:r w:rsidDel="00000000" w:rsidR="00000000" w:rsidRPr="00000000">
        <w:rPr>
          <w:rtl w:val="0"/>
        </w:rPr>
        <w:t xml:space="preserve"> If the organization uses a standard contract for all technology procurements.  </w:t>
      </w:r>
    </w:p>
    <w:p w:rsidR="00000000" w:rsidDel="00000000" w:rsidP="00000000" w:rsidRDefault="00000000" w:rsidRPr="00000000" w14:paraId="0000014D">
      <w:pPr>
        <w:numPr>
          <w:ilvl w:val="0"/>
          <w:numId w:val="48"/>
        </w:numPr>
        <w:ind w:left="720" w:hanging="360"/>
        <w:rPr>
          <w:u w:val="none"/>
        </w:rPr>
      </w:pPr>
      <w:r w:rsidDel="00000000" w:rsidR="00000000" w:rsidRPr="00000000">
        <w:rPr>
          <w:b w:val="1"/>
          <w:rtl w:val="0"/>
        </w:rPr>
        <w:t xml:space="preserve">Policy Documents:</w:t>
      </w:r>
      <w:r w:rsidDel="00000000" w:rsidR="00000000" w:rsidRPr="00000000">
        <w:rPr>
          <w:rtl w:val="0"/>
        </w:rPr>
        <w:t xml:space="preserve"> Any existing security policies or frameworks relevant for vendor alignment.  </w:t>
      </w:r>
    </w:p>
    <w:p w:rsidR="00000000" w:rsidDel="00000000" w:rsidP="00000000" w:rsidRDefault="00000000" w:rsidRPr="00000000" w14:paraId="0000014E">
      <w:pPr>
        <w:numPr>
          <w:ilvl w:val="0"/>
          <w:numId w:val="48"/>
        </w:numPr>
        <w:ind w:left="720" w:hanging="360"/>
        <w:rPr>
          <w:u w:val="none"/>
        </w:rPr>
      </w:pPr>
      <w:r w:rsidDel="00000000" w:rsidR="00000000" w:rsidRPr="00000000">
        <w:rPr>
          <w:b w:val="1"/>
          <w:rtl w:val="0"/>
        </w:rPr>
        <w:t xml:space="preserve">Data Protection Addendums </w:t>
      </w:r>
      <w:r w:rsidDel="00000000" w:rsidR="00000000" w:rsidRPr="00000000">
        <w:rPr>
          <w:rtl w:val="0"/>
        </w:rPr>
        <w:t xml:space="preserve">(if applicable): For ensuring compliance with GDPR or local data regulations.</w:t>
      </w:r>
    </w:p>
    <w:p w:rsidR="00000000" w:rsidDel="00000000" w:rsidP="00000000" w:rsidRDefault="00000000" w:rsidRPr="00000000" w14:paraId="0000014F">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0">
      <w:pPr>
        <w:pStyle w:val="Heading2"/>
        <w:spacing w:after="200" w:before="200" w:lineRule="auto"/>
        <w:rPr/>
      </w:pPr>
      <w:bookmarkStart w:colFirst="0" w:colLast="0" w:name="_i2yrlj7qx15w" w:id="49"/>
      <w:bookmarkEnd w:id="49"/>
      <w:r w:rsidDel="00000000" w:rsidR="00000000" w:rsidRPr="00000000">
        <w:rPr>
          <w:b w:val="1"/>
          <w:sz w:val="34"/>
          <w:szCs w:val="34"/>
          <w:rtl w:val="0"/>
        </w:rPr>
        <w:t xml:space="preserve">Closing Statement</w:t>
      </w:r>
      <w:r w:rsidDel="00000000" w:rsidR="00000000" w:rsidRPr="00000000">
        <w:rPr>
          <w:rtl w:val="0"/>
        </w:rPr>
      </w:r>
    </w:p>
    <w:p w:rsidR="00000000" w:rsidDel="00000000" w:rsidP="00000000" w:rsidRDefault="00000000" w:rsidRPr="00000000" w14:paraId="00000151">
      <w:pPr>
        <w:rPr/>
      </w:pPr>
      <w:r w:rsidDel="00000000" w:rsidR="00000000" w:rsidRPr="00000000">
        <w:rPr>
          <w:rtl w:val="0"/>
        </w:rPr>
        <w:t xml:space="preserve">This long-form RFP template is designed to ensure thorough coverage of NIS2 requirements across IT, OT, IoT, and ICS ecosystems. It emphasizes capabilities typical of agentless, real-time device discovery and continuous monitoring platforms that can unify risk management, incident response, and regulatory reporting under one comprehensive umbrella—without referencing any specific vendor by name.</w:t>
      </w:r>
    </w:p>
    <w:p w:rsidR="00000000" w:rsidDel="00000000" w:rsidP="00000000" w:rsidRDefault="00000000" w:rsidRPr="00000000" w14:paraId="00000152">
      <w:pPr>
        <w:spacing w:before="200" w:lineRule="auto"/>
        <w:rPr/>
      </w:pPr>
      <w:r w:rsidDel="00000000" w:rsidR="00000000" w:rsidRPr="00000000">
        <w:rPr>
          <w:rtl w:val="0"/>
        </w:rPr>
        <w:t xml:space="preserve">Vendors are encouraged to demonstrate alignment with the strict obligations of NIS2, proving their solutions’ efficacy in delivering asset visibility, vulnerability management, incident handling, and regulatory compliance. By issuing this RFP, our organization aims to select a trusted partner who can enhance our operational resilience, reduce cyber risk, and streamline compliance within the evolving European cybersecurity landscape.</w:t>
      </w:r>
    </w:p>
    <w:p w:rsidR="00000000" w:rsidDel="00000000" w:rsidP="00000000" w:rsidRDefault="00000000" w:rsidRPr="00000000" w14:paraId="00000153">
      <w:pPr>
        <w:spacing w:before="20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54">
      <w:pPr>
        <w:spacing w:before="200" w:lineRule="auto"/>
        <w:ind w:left="720" w:firstLine="0"/>
        <w:rPr/>
      </w:pPr>
      <w:r w:rsidDel="00000000" w:rsidR="00000000" w:rsidRPr="00000000">
        <w:rPr>
          <w:b w:val="1"/>
          <w:rtl w:val="0"/>
        </w:rPr>
        <w:t xml:space="preserve">Disclaimer:</w:t>
      </w:r>
      <w:r w:rsidDel="00000000" w:rsidR="00000000" w:rsidRPr="00000000">
        <w:rPr>
          <w:rtl w:val="0"/>
        </w:rPr>
        <w:t xml:space="preserve"> This template provides generalized guidance. Organizations should tailor each section to reflect their unique infrastructure, risk appetite, and legal requirements. Consulting legal and cybersecurity professionals </w:t>
      </w:r>
      <w:r w:rsidDel="00000000" w:rsidR="00000000" w:rsidRPr="00000000">
        <w:rPr>
          <w:rtl w:val="0"/>
        </w:rPr>
        <w:t xml:space="preserve">is advised</w:t>
      </w:r>
      <w:r w:rsidDel="00000000" w:rsidR="00000000" w:rsidRPr="00000000">
        <w:rPr>
          <w:rtl w:val="0"/>
        </w:rPr>
        <w:t xml:space="preserve"> before finalizing RFPs and awarding contracts under NIS2.</w:t>
      </w:r>
    </w:p>
    <w:p w:rsidR="00000000" w:rsidDel="00000000" w:rsidP="00000000" w:rsidRDefault="00000000" w:rsidRPr="00000000" w14:paraId="0000015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