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for organizations </w:t>
      </w:r>
      <w:r w:rsidDel="00000000" w:rsidR="00000000" w:rsidRPr="00000000">
        <w:rPr>
          <w:b w:val="1"/>
          <w:rtl w:val="0"/>
        </w:rPr>
        <w:t xml:space="preserve">seeking to comply with the EU Cyber Resilience Act (CRA)</w:t>
      </w:r>
      <w:r w:rsidDel="00000000" w:rsidR="00000000" w:rsidRPr="00000000">
        <w:rPr>
          <w:rtl w:val="0"/>
        </w:rPr>
        <w:t xml:space="preserve">. By embedding these requirements into the RFP, the organization ensures that only vendors offering solutions aligned with robust, continuous asset discovery, threat detection, and vulnerability management (such as those provided by leading visibility and security platforms) will qualify.</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pPr>
      <w:bookmarkStart w:colFirst="0" w:colLast="0" w:name="_mcj1x62yz0cd" w:id="0"/>
      <w:bookmarkEnd w:id="0"/>
      <w:r w:rsidDel="00000000" w:rsidR="00000000" w:rsidRPr="00000000">
        <w:rPr>
          <w:b w:val="1"/>
          <w:sz w:val="34"/>
          <w:szCs w:val="34"/>
          <w:rtl w:val="0"/>
        </w:rPr>
        <w:t xml:space="preserve">Table of Content</w:t>
      </w:r>
      <w:r w:rsidDel="00000000" w:rsidR="00000000" w:rsidRPr="00000000">
        <w:rPr>
          <w:rtl w:val="0"/>
        </w:rPr>
      </w:r>
    </w:p>
    <w:p w:rsidR="00000000" w:rsidDel="00000000" w:rsidP="00000000" w:rsidRDefault="00000000" w:rsidRPr="00000000" w14:paraId="00000004">
      <w:pPr>
        <w:numPr>
          <w:ilvl w:val="0"/>
          <w:numId w:val="31"/>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w:t>
      </w:r>
    </w:p>
    <w:p w:rsidR="00000000" w:rsidDel="00000000" w:rsidP="00000000" w:rsidRDefault="00000000" w:rsidRPr="00000000" w14:paraId="00000006">
      <w:pPr>
        <w:ind w:left="720" w:firstLine="0"/>
        <w:rPr/>
      </w:pPr>
      <w:r w:rsidDel="00000000" w:rsidR="00000000" w:rsidRPr="00000000">
        <w:rPr>
          <w:rtl w:val="0"/>
        </w:rPr>
        <w:t xml:space="preserve">1.2 Background on the EU Cyber Resilience Act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Goals  </w:t>
      </w:r>
    </w:p>
    <w:p w:rsidR="00000000" w:rsidDel="00000000" w:rsidP="00000000" w:rsidRDefault="00000000" w:rsidRPr="00000000" w14:paraId="00000008">
      <w:pPr>
        <w:ind w:left="720" w:firstLine="0"/>
        <w:rPr/>
      </w:pPr>
      <w:r w:rsidDel="00000000" w:rsidR="00000000" w:rsidRPr="00000000">
        <w:rPr>
          <w:rtl w:val="0"/>
        </w:rPr>
        <w:t xml:space="preserve">1.4 Scope and Objectives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1"/>
        </w:numPr>
        <w:ind w:left="720" w:hanging="360"/>
        <w:rPr>
          <w:b w:val="1"/>
        </w:rPr>
      </w:pPr>
      <w:r w:rsidDel="00000000" w:rsidR="00000000" w:rsidRPr="00000000">
        <w:rPr>
          <w:b w:val="1"/>
          <w:rtl w:val="0"/>
        </w:rPr>
        <w:t xml:space="preserve">Regulatory Scope and Compliance Requirements  </w:t>
      </w:r>
    </w:p>
    <w:p w:rsidR="00000000" w:rsidDel="00000000" w:rsidP="00000000" w:rsidRDefault="00000000" w:rsidRPr="00000000" w14:paraId="0000000B">
      <w:pPr>
        <w:ind w:left="720" w:firstLine="0"/>
        <w:rPr/>
      </w:pPr>
      <w:r w:rsidDel="00000000" w:rsidR="00000000" w:rsidRPr="00000000">
        <w:rPr>
          <w:rtl w:val="0"/>
        </w:rPr>
        <w:t xml:space="preserve">2.1 Overview of the Cyber Resilience Act  </w:t>
      </w:r>
    </w:p>
    <w:p w:rsidR="00000000" w:rsidDel="00000000" w:rsidP="00000000" w:rsidRDefault="00000000" w:rsidRPr="00000000" w14:paraId="0000000C">
      <w:pPr>
        <w:ind w:left="720" w:firstLine="0"/>
        <w:rPr/>
      </w:pPr>
      <w:r w:rsidDel="00000000" w:rsidR="00000000" w:rsidRPr="00000000">
        <w:rPr>
          <w:rtl w:val="0"/>
        </w:rPr>
        <w:t xml:space="preserve">2.2 Alignment with Other Regulations and Standards  </w:t>
      </w:r>
    </w:p>
    <w:p w:rsidR="00000000" w:rsidDel="00000000" w:rsidP="00000000" w:rsidRDefault="00000000" w:rsidRPr="00000000" w14:paraId="0000000D">
      <w:pPr>
        <w:ind w:left="720" w:firstLine="0"/>
        <w:rPr/>
      </w:pPr>
      <w:r w:rsidDel="00000000" w:rsidR="00000000" w:rsidRPr="00000000">
        <w:rPr>
          <w:rtl w:val="0"/>
        </w:rPr>
        <w:t xml:space="preserve">2.3 Key CRA Provisions and Their Implications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1"/>
        </w:numPr>
        <w:ind w:left="720" w:hanging="360"/>
        <w:rPr>
          <w:b w:val="1"/>
        </w:rPr>
      </w:pPr>
      <w:r w:rsidDel="00000000" w:rsidR="00000000" w:rsidRPr="00000000">
        <w:rPr>
          <w:b w:val="1"/>
          <w:rtl w:val="0"/>
        </w:rPr>
        <w:t xml:space="preserve">Functional and Technical Requirements  </w:t>
      </w:r>
    </w:p>
    <w:p w:rsidR="00000000" w:rsidDel="00000000" w:rsidP="00000000" w:rsidRDefault="00000000" w:rsidRPr="00000000" w14:paraId="00000010">
      <w:pPr>
        <w:ind w:left="720" w:firstLine="0"/>
        <w:rPr/>
      </w:pPr>
      <w:r w:rsidDel="00000000" w:rsidR="00000000" w:rsidRPr="00000000">
        <w:rPr>
          <w:rtl w:val="0"/>
        </w:rPr>
        <w:t xml:space="preserve">3.1 Comprehensive Asset Discovery (IT, OT, IoT, Medical Devices, ICS, etc.)  </w:t>
      </w:r>
    </w:p>
    <w:p w:rsidR="00000000" w:rsidDel="00000000" w:rsidP="00000000" w:rsidRDefault="00000000" w:rsidRPr="00000000" w14:paraId="00000011">
      <w:pPr>
        <w:ind w:left="720" w:firstLine="0"/>
        <w:rPr/>
      </w:pPr>
      <w:r w:rsidDel="00000000" w:rsidR="00000000" w:rsidRPr="00000000">
        <w:rPr>
          <w:rtl w:val="0"/>
        </w:rPr>
        <w:t xml:space="preserve">3.2 Passive Monitoring and Risk-Based Classification  </w:t>
      </w:r>
    </w:p>
    <w:p w:rsidR="00000000" w:rsidDel="00000000" w:rsidP="00000000" w:rsidRDefault="00000000" w:rsidRPr="00000000" w14:paraId="00000012">
      <w:pPr>
        <w:ind w:left="720" w:firstLine="0"/>
        <w:rPr/>
      </w:pPr>
      <w:r w:rsidDel="00000000" w:rsidR="00000000" w:rsidRPr="00000000">
        <w:rPr>
          <w:rtl w:val="0"/>
        </w:rPr>
        <w:t xml:space="preserve">3.3 Threat Intelligence and Vulnerability Prioritization  </w:t>
      </w:r>
    </w:p>
    <w:p w:rsidR="00000000" w:rsidDel="00000000" w:rsidP="00000000" w:rsidRDefault="00000000" w:rsidRPr="00000000" w14:paraId="00000013">
      <w:pPr>
        <w:ind w:left="720" w:firstLine="0"/>
        <w:rPr/>
      </w:pPr>
      <w:r w:rsidDel="00000000" w:rsidR="00000000" w:rsidRPr="00000000">
        <w:rPr>
          <w:rtl w:val="0"/>
        </w:rPr>
        <w:t xml:space="preserve">3.4 Incident Detection, Response, and Lifecycle Management  </w:t>
      </w:r>
    </w:p>
    <w:p w:rsidR="00000000" w:rsidDel="00000000" w:rsidP="00000000" w:rsidRDefault="00000000" w:rsidRPr="00000000" w14:paraId="00000014">
      <w:pPr>
        <w:ind w:left="720" w:firstLine="0"/>
        <w:rPr/>
      </w:pPr>
      <w:r w:rsidDel="00000000" w:rsidR="00000000" w:rsidRPr="00000000">
        <w:rPr>
          <w:rtl w:val="0"/>
        </w:rPr>
        <w:t xml:space="preserve">3.5 Secure Development and Patch Management Lifecycle Support  </w:t>
      </w:r>
    </w:p>
    <w:p w:rsidR="00000000" w:rsidDel="00000000" w:rsidP="00000000" w:rsidRDefault="00000000" w:rsidRPr="00000000" w14:paraId="00000015">
      <w:pPr>
        <w:ind w:left="720" w:firstLine="0"/>
        <w:rPr/>
      </w:pPr>
      <w:r w:rsidDel="00000000" w:rsidR="00000000" w:rsidRPr="00000000">
        <w:rPr>
          <w:rtl w:val="0"/>
        </w:rPr>
        <w:t xml:space="preserve">3.6 Supply Chain Risk Visibility  </w:t>
      </w:r>
    </w:p>
    <w:p w:rsidR="00000000" w:rsidDel="00000000" w:rsidP="00000000" w:rsidRDefault="00000000" w:rsidRPr="00000000" w14:paraId="00000016">
      <w:pPr>
        <w:ind w:left="720" w:firstLine="0"/>
        <w:rPr/>
      </w:pPr>
      <w:r w:rsidDel="00000000" w:rsidR="00000000" w:rsidRPr="00000000">
        <w:rPr>
          <w:rtl w:val="0"/>
        </w:rPr>
        <w:t xml:space="preserve">3.7 Reporting, Governance, and Regulatory Audit 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31"/>
        </w:numPr>
        <w:ind w:left="720" w:hanging="360"/>
        <w:rPr>
          <w:b w:val="1"/>
        </w:rPr>
      </w:pPr>
      <w:r w:rsidDel="00000000" w:rsidR="00000000" w:rsidRPr="00000000">
        <w:rPr>
          <w:b w:val="1"/>
          <w:rtl w:val="0"/>
        </w:rPr>
        <w:t xml:space="preserve">Implementation Approach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Milestones  </w:t>
      </w:r>
    </w:p>
    <w:p w:rsidR="00000000" w:rsidDel="00000000" w:rsidP="00000000" w:rsidRDefault="00000000" w:rsidRPr="00000000" w14:paraId="0000001B">
      <w:pPr>
        <w:ind w:left="720" w:firstLine="0"/>
        <w:rPr/>
      </w:pPr>
      <w:r w:rsidDel="00000000" w:rsidR="00000000" w:rsidRPr="00000000">
        <w:rPr>
          <w:rtl w:val="0"/>
        </w:rPr>
        <w:t xml:space="preserve">4.3 Change Management and Training Strategy  </w:t>
      </w:r>
    </w:p>
    <w:p w:rsidR="00000000" w:rsidDel="00000000" w:rsidP="00000000" w:rsidRDefault="00000000" w:rsidRPr="00000000" w14:paraId="0000001C">
      <w:pPr>
        <w:ind w:left="720" w:firstLine="0"/>
        <w:rPr/>
      </w:pPr>
      <w:r w:rsidDel="00000000" w:rsidR="00000000" w:rsidRPr="00000000">
        <w:rPr>
          <w:rtl w:val="0"/>
        </w:rPr>
        <w:t xml:space="preserve">4.4 Risk Management, Escalations, and Contingency Plans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31"/>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EU CRA Regulatory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Relevant Industry Experience (Healthcare, Manufacturing, Critical Infrastructure, etc.)  </w:t>
      </w:r>
    </w:p>
    <w:p w:rsidR="00000000" w:rsidDel="00000000" w:rsidP="00000000" w:rsidRDefault="00000000" w:rsidRPr="00000000" w14:paraId="00000022">
      <w:pPr>
        <w:ind w:left="720" w:firstLine="0"/>
        <w:rPr/>
      </w:pPr>
      <w:r w:rsidDel="00000000" w:rsidR="00000000" w:rsidRPr="00000000">
        <w:rPr>
          <w:rtl w:val="0"/>
        </w:rPr>
        <w:t xml:space="preserve">5.4 Certifications, Partnerships, and Case Studies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1"/>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Cost Model (Subscription, Device-Based, Enterprise Licensing)  </w:t>
      </w:r>
    </w:p>
    <w:p w:rsidR="00000000" w:rsidDel="00000000" w:rsidP="00000000" w:rsidRDefault="00000000" w:rsidRPr="00000000" w14:paraId="00000026">
      <w:pPr>
        <w:ind w:left="720" w:firstLine="0"/>
        <w:rPr/>
      </w:pPr>
      <w:r w:rsidDel="00000000" w:rsidR="00000000" w:rsidRPr="00000000">
        <w:rPr>
          <w:rtl w:val="0"/>
        </w:rPr>
        <w:t xml:space="preserve">6.2 Maintenance, Support, and Service-Level Agreements (SLAs)  </w:t>
      </w:r>
    </w:p>
    <w:p w:rsidR="00000000" w:rsidDel="00000000" w:rsidP="00000000" w:rsidRDefault="00000000" w:rsidRPr="00000000" w14:paraId="00000027">
      <w:pPr>
        <w:ind w:left="720" w:firstLine="0"/>
        <w:rPr/>
      </w:pPr>
      <w:r w:rsidDel="00000000" w:rsidR="00000000" w:rsidRPr="00000000">
        <w:rPr>
          <w:rtl w:val="0"/>
        </w:rPr>
        <w:t xml:space="preserve">6.3 Professional Services and Ongoing Consultancy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31"/>
        </w:numPr>
        <w:ind w:left="720" w:hanging="360"/>
        <w:rPr/>
      </w:pPr>
      <w:r w:rsidDel="00000000" w:rsidR="00000000" w:rsidRPr="00000000">
        <w:rPr>
          <w:b w:val="1"/>
          <w:rtl w:val="0"/>
        </w:rPr>
        <w:t xml:space="preserve">Evaluation Criteria and Process </w:t>
      </w:r>
      <w:r w:rsidDel="00000000" w:rsidR="00000000" w:rsidRPr="00000000">
        <w:rPr>
          <w:rtl w:val="0"/>
        </w:rPr>
        <w:t xml:space="preserve"> </w:t>
      </w:r>
    </w:p>
    <w:p w:rsidR="00000000" w:rsidDel="00000000" w:rsidP="00000000" w:rsidRDefault="00000000" w:rsidRPr="00000000" w14:paraId="0000002B">
      <w:pPr>
        <w:ind w:left="720" w:firstLine="0"/>
        <w:rPr/>
      </w:pPr>
      <w:r w:rsidDel="00000000" w:rsidR="00000000" w:rsidRPr="00000000">
        <w:rPr>
          <w:rtl w:val="0"/>
        </w:rPr>
        <w:t xml:space="preserve">7.1 Alignment with CRA Technical Requirements  </w:t>
      </w:r>
    </w:p>
    <w:p w:rsidR="00000000" w:rsidDel="00000000" w:rsidP="00000000" w:rsidRDefault="00000000" w:rsidRPr="00000000" w14:paraId="0000002C">
      <w:pPr>
        <w:ind w:left="720" w:firstLine="0"/>
        <w:rPr/>
      </w:pPr>
      <w:r w:rsidDel="00000000" w:rsidR="00000000" w:rsidRPr="00000000">
        <w:rPr>
          <w:rtl w:val="0"/>
        </w:rPr>
        <w:t xml:space="preserve">7.2 Feasibility, Scalability, and Operational Integration  </w:t>
      </w:r>
    </w:p>
    <w:p w:rsidR="00000000" w:rsidDel="00000000" w:rsidP="00000000" w:rsidRDefault="00000000" w:rsidRPr="00000000" w14:paraId="0000002D">
      <w:pPr>
        <w:ind w:left="720" w:firstLine="0"/>
        <w:rPr/>
      </w:pPr>
      <w:r w:rsidDel="00000000" w:rsidR="00000000" w:rsidRPr="00000000">
        <w:rPr>
          <w:rtl w:val="0"/>
        </w:rPr>
        <w:t xml:space="preserve">7.3 Total Cost of Ownership and Value  </w:t>
      </w:r>
    </w:p>
    <w:p w:rsidR="00000000" w:rsidDel="00000000" w:rsidP="00000000" w:rsidRDefault="00000000" w:rsidRPr="00000000" w14:paraId="0000002E">
      <w:pPr>
        <w:ind w:left="720" w:firstLine="0"/>
        <w:rPr/>
      </w:pPr>
      <w:r w:rsidDel="00000000" w:rsidR="00000000" w:rsidRPr="00000000">
        <w:rPr>
          <w:rtl w:val="0"/>
        </w:rPr>
        <w:t xml:space="preserve">7.4 Vendor Reliability and Support Model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1"/>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Proposal Format and Required Sections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31"/>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Handling,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Renewals, and Termination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1"/>
        </w:numPr>
        <w:ind w:left="720" w:hanging="360"/>
        <w:rPr>
          <w:b w:val="1"/>
        </w:rPr>
      </w:pPr>
      <w:r w:rsidDel="00000000" w:rsidR="00000000" w:rsidRPr="00000000">
        <w:rPr>
          <w:b w:val="1"/>
          <w:rtl w:val="0"/>
        </w:rPr>
        <w:t xml:space="preserve">Appendices and Annexes (Optional)</w:t>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oyesp0jcjbi"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i9k3it9od1pm" w:id="2"/>
      <w:bookmarkEnd w:id="2"/>
      <w:r w:rsidDel="00000000" w:rsidR="00000000" w:rsidRPr="00000000">
        <w:rPr>
          <w:b w:val="1"/>
          <w:color w:val="000000"/>
          <w:sz w:val="26"/>
          <w:szCs w:val="26"/>
          <w:rtl w:val="0"/>
        </w:rPr>
        <w:t xml:space="preserve">1.1 Purpose</w:t>
      </w:r>
    </w:p>
    <w:p w:rsidR="00000000" w:rsidDel="00000000" w:rsidP="00000000" w:rsidRDefault="00000000" w:rsidRPr="00000000" w14:paraId="00000040">
      <w:pPr>
        <w:spacing w:before="200" w:lineRule="auto"/>
        <w:rPr/>
      </w:pPr>
      <w:r w:rsidDel="00000000" w:rsidR="00000000" w:rsidRPr="00000000">
        <w:rPr>
          <w:rtl w:val="0"/>
        </w:rPr>
        <w:t xml:space="preserve">This RFP invites qualified solution providers to submit proposals for cybersecurity products or services that enable our organization to comply with the EU Cyber Resilience Act (CRA). We need a comprehensive, scalable, and future-proof solution that addresses lifecycle security for all connected devices and components, from design and development through deployment, maintenance, and decommissioning.</w:t>
      </w:r>
    </w:p>
    <w:p w:rsidR="00000000" w:rsidDel="00000000" w:rsidP="00000000" w:rsidRDefault="00000000" w:rsidRPr="00000000" w14:paraId="00000041">
      <w:pPr>
        <w:pStyle w:val="Heading3"/>
        <w:rPr>
          <w:b w:val="1"/>
          <w:color w:val="000000"/>
          <w:sz w:val="26"/>
          <w:szCs w:val="26"/>
        </w:rPr>
      </w:pPr>
      <w:bookmarkStart w:colFirst="0" w:colLast="0" w:name="_d5gk1nv2ta3f" w:id="3"/>
      <w:bookmarkEnd w:id="3"/>
      <w:r w:rsidDel="00000000" w:rsidR="00000000" w:rsidRPr="00000000">
        <w:rPr>
          <w:b w:val="1"/>
          <w:color w:val="000000"/>
          <w:sz w:val="26"/>
          <w:szCs w:val="26"/>
          <w:rtl w:val="0"/>
        </w:rPr>
        <w:t xml:space="preserve">1.2 Background on the EU Cyber Resilience Act</w:t>
      </w:r>
    </w:p>
    <w:p w:rsidR="00000000" w:rsidDel="00000000" w:rsidP="00000000" w:rsidRDefault="00000000" w:rsidRPr="00000000" w14:paraId="00000042">
      <w:pPr>
        <w:spacing w:before="200" w:lineRule="auto"/>
        <w:rPr/>
      </w:pPr>
      <w:r w:rsidDel="00000000" w:rsidR="00000000" w:rsidRPr="00000000">
        <w:rPr>
          <w:rtl w:val="0"/>
        </w:rPr>
        <w:t xml:space="preserve">The EU Cyber Resilience Act (CRA) sets out robust cybersecurity standards for products (hardware and software) placed on the EU market, spanning traditional IT systems, IoT, industrial control systems (ICS), and specialized environments (e.g., medical devices). The CRA emphasizes:</w:t>
      </w:r>
    </w:p>
    <w:p w:rsidR="00000000" w:rsidDel="00000000" w:rsidP="00000000" w:rsidRDefault="00000000" w:rsidRPr="00000000" w14:paraId="00000043">
      <w:pPr>
        <w:numPr>
          <w:ilvl w:val="0"/>
          <w:numId w:val="16"/>
        </w:numPr>
        <w:spacing w:before="200" w:lineRule="auto"/>
        <w:ind w:left="720" w:hanging="360"/>
        <w:rPr>
          <w:u w:val="none"/>
        </w:rPr>
      </w:pPr>
      <w:r w:rsidDel="00000000" w:rsidR="00000000" w:rsidRPr="00000000">
        <w:rPr>
          <w:b w:val="1"/>
          <w:rtl w:val="0"/>
        </w:rPr>
        <w:t xml:space="preserve">Secure Product Design: </w:t>
      </w:r>
      <w:r w:rsidDel="00000000" w:rsidR="00000000" w:rsidRPr="00000000">
        <w:rPr>
          <w:rtl w:val="0"/>
        </w:rPr>
        <w:t xml:space="preserve">Embedding security features throughout the product lifecycle.  </w:t>
      </w:r>
    </w:p>
    <w:p w:rsidR="00000000" w:rsidDel="00000000" w:rsidP="00000000" w:rsidRDefault="00000000" w:rsidRPr="00000000" w14:paraId="00000044">
      <w:pPr>
        <w:numPr>
          <w:ilvl w:val="0"/>
          <w:numId w:val="16"/>
        </w:numPr>
        <w:ind w:left="720" w:hanging="360"/>
        <w:rPr>
          <w:u w:val="none"/>
        </w:rPr>
      </w:pPr>
      <w:r w:rsidDel="00000000" w:rsidR="00000000" w:rsidRPr="00000000">
        <w:rPr>
          <w:b w:val="1"/>
          <w:rtl w:val="0"/>
        </w:rPr>
        <w:t xml:space="preserve">Post-Market Monitoring: </w:t>
      </w:r>
      <w:r w:rsidDel="00000000" w:rsidR="00000000" w:rsidRPr="00000000">
        <w:rPr>
          <w:rtl w:val="0"/>
        </w:rPr>
        <w:t xml:space="preserve">Ongoing oversight of vulnerabilities and updates, ensuring vendors promptly address threats.  </w:t>
      </w:r>
    </w:p>
    <w:p w:rsidR="00000000" w:rsidDel="00000000" w:rsidP="00000000" w:rsidRDefault="00000000" w:rsidRPr="00000000" w14:paraId="00000045">
      <w:pPr>
        <w:numPr>
          <w:ilvl w:val="0"/>
          <w:numId w:val="16"/>
        </w:numPr>
        <w:ind w:left="720" w:hanging="360"/>
        <w:rPr>
          <w:u w:val="none"/>
        </w:rPr>
      </w:pPr>
      <w:r w:rsidDel="00000000" w:rsidR="00000000" w:rsidRPr="00000000">
        <w:rPr>
          <w:b w:val="1"/>
          <w:rtl w:val="0"/>
        </w:rPr>
        <w:t xml:space="preserve">Supply Chain Security: </w:t>
      </w:r>
      <w:r w:rsidDel="00000000" w:rsidR="00000000" w:rsidRPr="00000000">
        <w:rPr>
          <w:rtl w:val="0"/>
        </w:rPr>
        <w:t xml:space="preserve">Improving transparency and accountability across third-party components and software.  </w:t>
      </w:r>
    </w:p>
    <w:p w:rsidR="00000000" w:rsidDel="00000000" w:rsidP="00000000" w:rsidRDefault="00000000" w:rsidRPr="00000000" w14:paraId="00000046">
      <w:pPr>
        <w:numPr>
          <w:ilvl w:val="0"/>
          <w:numId w:val="16"/>
        </w:numPr>
        <w:ind w:left="720" w:hanging="360"/>
        <w:rPr>
          <w:u w:val="none"/>
        </w:rPr>
      </w:pPr>
      <w:r w:rsidDel="00000000" w:rsidR="00000000" w:rsidRPr="00000000">
        <w:rPr>
          <w:b w:val="1"/>
          <w:rtl w:val="0"/>
        </w:rPr>
        <w:t xml:space="preserve">Regulatory Penalties: </w:t>
      </w:r>
      <w:r w:rsidDel="00000000" w:rsidR="00000000" w:rsidRPr="00000000">
        <w:rPr>
          <w:rtl w:val="0"/>
        </w:rPr>
        <w:t xml:space="preserve">Non-compliance can lead to significant fines and reputational damage.</w:t>
      </w:r>
    </w:p>
    <w:p w:rsidR="00000000" w:rsidDel="00000000" w:rsidP="00000000" w:rsidRDefault="00000000" w:rsidRPr="00000000" w14:paraId="00000047">
      <w:pPr>
        <w:pStyle w:val="Heading3"/>
        <w:rPr>
          <w:b w:val="1"/>
          <w:color w:val="000000"/>
          <w:sz w:val="26"/>
          <w:szCs w:val="26"/>
        </w:rPr>
      </w:pPr>
      <w:bookmarkStart w:colFirst="0" w:colLast="0" w:name="_s8peom5pfx5w" w:id="4"/>
      <w:bookmarkEnd w:id="4"/>
      <w:r w:rsidDel="00000000" w:rsidR="00000000" w:rsidRPr="00000000">
        <w:rPr>
          <w:b w:val="1"/>
          <w:color w:val="000000"/>
          <w:sz w:val="26"/>
          <w:szCs w:val="26"/>
          <w:rtl w:val="0"/>
        </w:rPr>
        <w:t xml:space="preserve">1.3 Organizational Context and Goals</w:t>
      </w:r>
    </w:p>
    <w:p w:rsidR="00000000" w:rsidDel="00000000" w:rsidP="00000000" w:rsidRDefault="00000000" w:rsidRPr="00000000" w14:paraId="00000048">
      <w:pPr>
        <w:spacing w:before="200" w:lineRule="auto"/>
        <w:rPr/>
      </w:pPr>
      <w:r w:rsidDel="00000000" w:rsidR="00000000" w:rsidRPr="00000000">
        <w:rPr>
          <w:rtl w:val="0"/>
        </w:rPr>
        <w:t xml:space="preserve">Our organization operates in a complex ecosystem where IT and OT networks converge. We manage:</w:t>
      </w:r>
    </w:p>
    <w:p w:rsidR="00000000" w:rsidDel="00000000" w:rsidP="00000000" w:rsidRDefault="00000000" w:rsidRPr="00000000" w14:paraId="00000049">
      <w:pPr>
        <w:numPr>
          <w:ilvl w:val="0"/>
          <w:numId w:val="13"/>
        </w:numPr>
        <w:spacing w:before="200" w:lineRule="auto"/>
        <w:ind w:left="720" w:hanging="360"/>
        <w:rPr>
          <w:u w:val="none"/>
        </w:rPr>
      </w:pPr>
      <w:r w:rsidDel="00000000" w:rsidR="00000000" w:rsidRPr="00000000">
        <w:rPr>
          <w:rtl w:val="0"/>
        </w:rPr>
        <w:t xml:space="preserve">Traditional corporate IT (servers, desktops, cloud workloads)  </w:t>
      </w:r>
    </w:p>
    <w:p w:rsidR="00000000" w:rsidDel="00000000" w:rsidP="00000000" w:rsidRDefault="00000000" w:rsidRPr="00000000" w14:paraId="0000004A">
      <w:pPr>
        <w:numPr>
          <w:ilvl w:val="0"/>
          <w:numId w:val="13"/>
        </w:numPr>
        <w:ind w:left="720" w:hanging="360"/>
        <w:rPr>
          <w:u w:val="none"/>
        </w:rPr>
      </w:pPr>
      <w:r w:rsidDel="00000000" w:rsidR="00000000" w:rsidRPr="00000000">
        <w:rPr>
          <w:rtl w:val="0"/>
        </w:rPr>
        <w:t xml:space="preserve">Manufacturing or industrial operations running ICS/SCADA systems  </w:t>
      </w:r>
    </w:p>
    <w:p w:rsidR="00000000" w:rsidDel="00000000" w:rsidP="00000000" w:rsidRDefault="00000000" w:rsidRPr="00000000" w14:paraId="0000004B">
      <w:pPr>
        <w:numPr>
          <w:ilvl w:val="0"/>
          <w:numId w:val="13"/>
        </w:numPr>
        <w:ind w:left="720" w:hanging="360"/>
        <w:rPr>
          <w:u w:val="none"/>
        </w:rPr>
      </w:pPr>
      <w:r w:rsidDel="00000000" w:rsidR="00000000" w:rsidRPr="00000000">
        <w:rPr>
          <w:rtl w:val="0"/>
        </w:rPr>
        <w:t xml:space="preserve">IoT deployments (smart devices, sensors)  </w:t>
      </w:r>
    </w:p>
    <w:p w:rsidR="00000000" w:rsidDel="00000000" w:rsidP="00000000" w:rsidRDefault="00000000" w:rsidRPr="00000000" w14:paraId="0000004C">
      <w:pPr>
        <w:numPr>
          <w:ilvl w:val="0"/>
          <w:numId w:val="13"/>
        </w:numPr>
        <w:ind w:left="720" w:hanging="360"/>
        <w:rPr>
          <w:u w:val="none"/>
        </w:rPr>
      </w:pPr>
      <w:r w:rsidDel="00000000" w:rsidR="00000000" w:rsidRPr="00000000">
        <w:rPr>
          <w:rtl w:val="0"/>
        </w:rPr>
        <w:t xml:space="preserve">Potentially specialized medical or lab devices that require stringent regulatory oversight  </w:t>
      </w:r>
    </w:p>
    <w:p w:rsidR="00000000" w:rsidDel="00000000" w:rsidP="00000000" w:rsidRDefault="00000000" w:rsidRPr="00000000" w14:paraId="0000004D">
      <w:pPr>
        <w:spacing w:before="200" w:lineRule="auto"/>
        <w:rPr/>
      </w:pPr>
      <w:r w:rsidDel="00000000" w:rsidR="00000000" w:rsidRPr="00000000">
        <w:rPr>
          <w:rtl w:val="0"/>
        </w:rPr>
        <w:t xml:space="preserve">We seek a holistic platform that enforces CRA-aligned practices, provides continuous visibility into connected assets, and offers robust vulnerability management to address the unique cyber risks introduced by IoT and OT systems.</w:t>
      </w:r>
    </w:p>
    <w:p w:rsidR="00000000" w:rsidDel="00000000" w:rsidP="00000000" w:rsidRDefault="00000000" w:rsidRPr="00000000" w14:paraId="0000004E">
      <w:pPr>
        <w:pStyle w:val="Heading3"/>
        <w:rPr>
          <w:b w:val="1"/>
          <w:color w:val="000000"/>
          <w:sz w:val="26"/>
          <w:szCs w:val="26"/>
        </w:rPr>
      </w:pPr>
      <w:bookmarkStart w:colFirst="0" w:colLast="0" w:name="_v5qqchjf1zvo" w:id="5"/>
      <w:bookmarkEnd w:id="5"/>
      <w:r w:rsidDel="00000000" w:rsidR="00000000" w:rsidRPr="00000000">
        <w:rPr>
          <w:b w:val="1"/>
          <w:color w:val="000000"/>
          <w:sz w:val="26"/>
          <w:szCs w:val="26"/>
          <w:rtl w:val="0"/>
        </w:rPr>
        <w:t xml:space="preserve">1.4 Scope and Objectives</w:t>
      </w:r>
    </w:p>
    <w:p w:rsidR="00000000" w:rsidDel="00000000" w:rsidP="00000000" w:rsidRDefault="00000000" w:rsidRPr="00000000" w14:paraId="0000004F">
      <w:pPr>
        <w:numPr>
          <w:ilvl w:val="0"/>
          <w:numId w:val="39"/>
        </w:numPr>
        <w:spacing w:before="200" w:lineRule="auto"/>
        <w:ind w:left="720" w:hanging="360"/>
        <w:rPr>
          <w:u w:val="none"/>
        </w:rPr>
      </w:pPr>
      <w:r w:rsidDel="00000000" w:rsidR="00000000" w:rsidRPr="00000000">
        <w:rPr>
          <w:b w:val="1"/>
          <w:rtl w:val="0"/>
        </w:rPr>
        <w:t xml:space="preserve">Full CRA Compliance:</w:t>
      </w:r>
      <w:r w:rsidDel="00000000" w:rsidR="00000000" w:rsidRPr="00000000">
        <w:rPr>
          <w:rtl w:val="0"/>
        </w:rPr>
        <w:t xml:space="preserve"> Ensure the chosen solution meets or exceeds the CRA’s requirements for device security, vulnerability reporting, and lifecycle management.  </w:t>
      </w:r>
    </w:p>
    <w:p w:rsidR="00000000" w:rsidDel="00000000" w:rsidP="00000000" w:rsidRDefault="00000000" w:rsidRPr="00000000" w14:paraId="00000050">
      <w:pPr>
        <w:numPr>
          <w:ilvl w:val="0"/>
          <w:numId w:val="39"/>
        </w:numPr>
        <w:ind w:left="720" w:hanging="360"/>
        <w:rPr>
          <w:u w:val="none"/>
        </w:rPr>
      </w:pPr>
      <w:r w:rsidDel="00000000" w:rsidR="00000000" w:rsidRPr="00000000">
        <w:rPr>
          <w:b w:val="1"/>
          <w:rtl w:val="0"/>
        </w:rPr>
        <w:t xml:space="preserve">Real-Time Visibility and Risk Management:</w:t>
      </w:r>
      <w:r w:rsidDel="00000000" w:rsidR="00000000" w:rsidRPr="00000000">
        <w:rPr>
          <w:rtl w:val="0"/>
        </w:rPr>
        <w:t xml:space="preserve"> Establish an ongoing, centralized inventory of all connected devices (including newly introduced, transient, or legacy) to monitor their security posture.  </w:t>
      </w:r>
    </w:p>
    <w:p w:rsidR="00000000" w:rsidDel="00000000" w:rsidP="00000000" w:rsidRDefault="00000000" w:rsidRPr="00000000" w14:paraId="00000051">
      <w:pPr>
        <w:numPr>
          <w:ilvl w:val="0"/>
          <w:numId w:val="39"/>
        </w:numPr>
        <w:ind w:left="720" w:hanging="360"/>
        <w:rPr>
          <w:u w:val="none"/>
        </w:rPr>
      </w:pPr>
      <w:r w:rsidDel="00000000" w:rsidR="00000000" w:rsidRPr="00000000">
        <w:rPr>
          <w:b w:val="1"/>
          <w:rtl w:val="0"/>
        </w:rPr>
        <w:t xml:space="preserve">Efficient Incident Response:</w:t>
      </w:r>
      <w:r w:rsidDel="00000000" w:rsidR="00000000" w:rsidRPr="00000000">
        <w:rPr>
          <w:rtl w:val="0"/>
        </w:rPr>
        <w:t xml:space="preserve"> Equip the security team with automated or semi-automated detection and response capabilities for rapid containment of threats.  </w:t>
      </w:r>
    </w:p>
    <w:p w:rsidR="00000000" w:rsidDel="00000000" w:rsidP="00000000" w:rsidRDefault="00000000" w:rsidRPr="00000000" w14:paraId="00000052">
      <w:pPr>
        <w:numPr>
          <w:ilvl w:val="0"/>
          <w:numId w:val="39"/>
        </w:numPr>
        <w:ind w:left="720" w:hanging="360"/>
        <w:rPr>
          <w:u w:val="none"/>
        </w:rPr>
      </w:pPr>
      <w:r w:rsidDel="00000000" w:rsidR="00000000" w:rsidRPr="00000000">
        <w:rPr>
          <w:b w:val="1"/>
          <w:rtl w:val="0"/>
        </w:rPr>
        <w:t xml:space="preserve">Reporting and Audit Readiness:</w:t>
      </w:r>
      <w:r w:rsidDel="00000000" w:rsidR="00000000" w:rsidRPr="00000000">
        <w:rPr>
          <w:rtl w:val="0"/>
        </w:rPr>
        <w:t xml:space="preserve"> Provide comprehensive dashboards and evidence generation to demonstrate compliance during regulatory audits or investigations.</w:t>
      </w:r>
    </w:p>
    <w:p w:rsidR="00000000" w:rsidDel="00000000" w:rsidP="00000000" w:rsidRDefault="00000000" w:rsidRPr="00000000" w14:paraId="0000005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rPr/>
      </w:pPr>
      <w:bookmarkStart w:colFirst="0" w:colLast="0" w:name="_d42ozxtva1u7" w:id="6"/>
      <w:bookmarkEnd w:id="6"/>
      <w:r w:rsidDel="00000000" w:rsidR="00000000" w:rsidRPr="00000000">
        <w:rPr>
          <w:b w:val="1"/>
          <w:sz w:val="34"/>
          <w:szCs w:val="34"/>
          <w:rtl w:val="0"/>
        </w:rPr>
        <w:t xml:space="preserve">2. Regulatory Scope and Compliance Requirements</w:t>
      </w:r>
      <w:r w:rsidDel="00000000" w:rsidR="00000000" w:rsidRPr="00000000">
        <w:rPr>
          <w:rtl w:val="0"/>
        </w:rPr>
      </w:r>
    </w:p>
    <w:p w:rsidR="00000000" w:rsidDel="00000000" w:rsidP="00000000" w:rsidRDefault="00000000" w:rsidRPr="00000000" w14:paraId="00000055">
      <w:pPr>
        <w:pStyle w:val="Heading3"/>
        <w:rPr>
          <w:b w:val="1"/>
          <w:color w:val="000000"/>
          <w:sz w:val="26"/>
          <w:szCs w:val="26"/>
        </w:rPr>
      </w:pPr>
      <w:bookmarkStart w:colFirst="0" w:colLast="0" w:name="_a4s4oxmluyte" w:id="7"/>
      <w:bookmarkEnd w:id="7"/>
      <w:r w:rsidDel="00000000" w:rsidR="00000000" w:rsidRPr="00000000">
        <w:rPr>
          <w:b w:val="1"/>
          <w:color w:val="000000"/>
          <w:sz w:val="26"/>
          <w:szCs w:val="26"/>
          <w:rtl w:val="0"/>
        </w:rPr>
        <w:t xml:space="preserve">2.1 Overview of the Cyber Resilience Act</w:t>
      </w:r>
    </w:p>
    <w:p w:rsidR="00000000" w:rsidDel="00000000" w:rsidP="00000000" w:rsidRDefault="00000000" w:rsidRPr="00000000" w14:paraId="00000056">
      <w:pPr>
        <w:numPr>
          <w:ilvl w:val="0"/>
          <w:numId w:val="24"/>
        </w:numPr>
        <w:spacing w:before="200" w:lineRule="auto"/>
        <w:ind w:left="720" w:hanging="360"/>
        <w:rPr>
          <w:u w:val="none"/>
        </w:rPr>
      </w:pPr>
      <w:r w:rsidDel="00000000" w:rsidR="00000000" w:rsidRPr="00000000">
        <w:rPr>
          <w:b w:val="1"/>
          <w:rtl w:val="0"/>
        </w:rPr>
        <w:t xml:space="preserve">Product Scope:</w:t>
      </w:r>
      <w:r w:rsidDel="00000000" w:rsidR="00000000" w:rsidRPr="00000000">
        <w:rPr>
          <w:rtl w:val="0"/>
        </w:rPr>
        <w:t xml:space="preserve"> Encompasses hardware, software, and digital services integrated into these products, with emphasis on connected devices (consumer and industrial).  </w:t>
      </w:r>
    </w:p>
    <w:p w:rsidR="00000000" w:rsidDel="00000000" w:rsidP="00000000" w:rsidRDefault="00000000" w:rsidRPr="00000000" w14:paraId="00000057">
      <w:pPr>
        <w:numPr>
          <w:ilvl w:val="0"/>
          <w:numId w:val="24"/>
        </w:numPr>
        <w:ind w:left="720" w:hanging="360"/>
        <w:rPr>
          <w:u w:val="none"/>
        </w:rPr>
      </w:pPr>
      <w:r w:rsidDel="00000000" w:rsidR="00000000" w:rsidRPr="00000000">
        <w:rPr>
          <w:b w:val="1"/>
          <w:rtl w:val="0"/>
        </w:rPr>
        <w:t xml:space="preserve">Mandatory Lifecycle Security:</w:t>
      </w:r>
      <w:r w:rsidDel="00000000" w:rsidR="00000000" w:rsidRPr="00000000">
        <w:rPr>
          <w:rtl w:val="0"/>
        </w:rPr>
        <w:t xml:space="preserve"> Requires manufacturers and operators to incorporate security from design to end-of-life.  </w:t>
      </w:r>
    </w:p>
    <w:p w:rsidR="00000000" w:rsidDel="00000000" w:rsidP="00000000" w:rsidRDefault="00000000" w:rsidRPr="00000000" w14:paraId="00000058">
      <w:pPr>
        <w:numPr>
          <w:ilvl w:val="0"/>
          <w:numId w:val="24"/>
        </w:numPr>
        <w:ind w:left="720" w:hanging="360"/>
        <w:rPr>
          <w:u w:val="none"/>
        </w:rPr>
      </w:pPr>
      <w:r w:rsidDel="00000000" w:rsidR="00000000" w:rsidRPr="00000000">
        <w:rPr>
          <w:b w:val="1"/>
          <w:rtl w:val="0"/>
        </w:rPr>
        <w:t xml:space="preserve">Responsiveness to Vulnerabilities:</w:t>
      </w:r>
      <w:r w:rsidDel="00000000" w:rsidR="00000000" w:rsidRPr="00000000">
        <w:rPr>
          <w:rtl w:val="0"/>
        </w:rPr>
        <w:t xml:space="preserve"> Mandates timely updates and patches for discovered vulnerabilities, as well as transparent disclosure processes.</w:t>
      </w:r>
    </w:p>
    <w:p w:rsidR="00000000" w:rsidDel="00000000" w:rsidP="00000000" w:rsidRDefault="00000000" w:rsidRPr="00000000" w14:paraId="00000059">
      <w:pPr>
        <w:pStyle w:val="Heading3"/>
        <w:rPr>
          <w:b w:val="1"/>
          <w:color w:val="000000"/>
          <w:sz w:val="26"/>
          <w:szCs w:val="26"/>
        </w:rPr>
      </w:pPr>
      <w:bookmarkStart w:colFirst="0" w:colLast="0" w:name="_vyasq6k3df92" w:id="8"/>
      <w:bookmarkEnd w:id="8"/>
      <w:r w:rsidDel="00000000" w:rsidR="00000000" w:rsidRPr="00000000">
        <w:rPr>
          <w:b w:val="1"/>
          <w:color w:val="000000"/>
          <w:sz w:val="26"/>
          <w:szCs w:val="26"/>
          <w:rtl w:val="0"/>
        </w:rPr>
        <w:t xml:space="preserve">2.2 Alignment with Other Regulations and Standards</w:t>
      </w:r>
    </w:p>
    <w:p w:rsidR="00000000" w:rsidDel="00000000" w:rsidP="00000000" w:rsidRDefault="00000000" w:rsidRPr="00000000" w14:paraId="0000005A">
      <w:pPr>
        <w:spacing w:before="200" w:lineRule="auto"/>
        <w:rPr/>
      </w:pPr>
      <w:r w:rsidDel="00000000" w:rsidR="00000000" w:rsidRPr="00000000">
        <w:rPr>
          <w:rtl w:val="0"/>
        </w:rPr>
        <w:t xml:space="preserve">The chosen solution should harmonize with other relevant standards or frameworks, such as:</w:t>
      </w:r>
    </w:p>
    <w:p w:rsidR="00000000" w:rsidDel="00000000" w:rsidP="00000000" w:rsidRDefault="00000000" w:rsidRPr="00000000" w14:paraId="0000005B">
      <w:pPr>
        <w:numPr>
          <w:ilvl w:val="0"/>
          <w:numId w:val="8"/>
        </w:numPr>
        <w:spacing w:before="200" w:lineRule="auto"/>
        <w:ind w:left="720" w:hanging="360"/>
        <w:rPr>
          <w:u w:val="none"/>
        </w:rPr>
      </w:pPr>
      <w:r w:rsidDel="00000000" w:rsidR="00000000" w:rsidRPr="00000000">
        <w:rPr>
          <w:rtl w:val="0"/>
        </w:rPr>
        <w:t xml:space="preserve">NIS2 Directive (for essential services and digital service providers)  </w:t>
      </w:r>
    </w:p>
    <w:p w:rsidR="00000000" w:rsidDel="00000000" w:rsidP="00000000" w:rsidRDefault="00000000" w:rsidRPr="00000000" w14:paraId="0000005C">
      <w:pPr>
        <w:numPr>
          <w:ilvl w:val="0"/>
          <w:numId w:val="8"/>
        </w:numPr>
        <w:ind w:left="720" w:hanging="360"/>
        <w:rPr>
          <w:u w:val="none"/>
        </w:rPr>
      </w:pPr>
      <w:r w:rsidDel="00000000" w:rsidR="00000000" w:rsidRPr="00000000">
        <w:rPr>
          <w:rtl w:val="0"/>
        </w:rPr>
        <w:t xml:space="preserve">GDPR (for data protection and privacy)  </w:t>
      </w:r>
    </w:p>
    <w:p w:rsidR="00000000" w:rsidDel="00000000" w:rsidP="00000000" w:rsidRDefault="00000000" w:rsidRPr="00000000" w14:paraId="0000005D">
      <w:pPr>
        <w:numPr>
          <w:ilvl w:val="0"/>
          <w:numId w:val="8"/>
        </w:numPr>
        <w:ind w:left="720" w:hanging="360"/>
        <w:rPr>
          <w:u w:val="none"/>
        </w:rPr>
      </w:pPr>
      <w:r w:rsidDel="00000000" w:rsidR="00000000" w:rsidRPr="00000000">
        <w:rPr>
          <w:rtl w:val="0"/>
        </w:rPr>
        <w:t xml:space="preserve">DORA (for financial services operational resilience)  </w:t>
      </w:r>
    </w:p>
    <w:p w:rsidR="00000000" w:rsidDel="00000000" w:rsidP="00000000" w:rsidRDefault="00000000" w:rsidRPr="00000000" w14:paraId="0000005E">
      <w:pPr>
        <w:numPr>
          <w:ilvl w:val="0"/>
          <w:numId w:val="8"/>
        </w:numPr>
        <w:ind w:left="720" w:hanging="360"/>
        <w:rPr>
          <w:u w:val="none"/>
        </w:rPr>
      </w:pPr>
      <w:r w:rsidDel="00000000" w:rsidR="00000000" w:rsidRPr="00000000">
        <w:rPr>
          <w:rtl w:val="0"/>
        </w:rPr>
        <w:t xml:space="preserve">ENISA Guidelines for IoT and ICS security  </w:t>
      </w:r>
    </w:p>
    <w:p w:rsidR="00000000" w:rsidDel="00000000" w:rsidP="00000000" w:rsidRDefault="00000000" w:rsidRPr="00000000" w14:paraId="0000005F">
      <w:pPr>
        <w:numPr>
          <w:ilvl w:val="0"/>
          <w:numId w:val="8"/>
        </w:numPr>
        <w:ind w:left="720" w:hanging="360"/>
        <w:rPr>
          <w:u w:val="none"/>
        </w:rPr>
      </w:pPr>
      <w:r w:rsidDel="00000000" w:rsidR="00000000" w:rsidRPr="00000000">
        <w:rPr>
          <w:rtl w:val="0"/>
        </w:rPr>
        <w:t xml:space="preserve">IEC 62443 for industrial automation systems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3"/>
        <w:rPr>
          <w:b w:val="1"/>
          <w:color w:val="000000"/>
          <w:sz w:val="26"/>
          <w:szCs w:val="26"/>
        </w:rPr>
      </w:pPr>
      <w:bookmarkStart w:colFirst="0" w:colLast="0" w:name="_djf1tgrzl5lm" w:id="9"/>
      <w:bookmarkEnd w:id="9"/>
      <w:r w:rsidDel="00000000" w:rsidR="00000000" w:rsidRPr="00000000">
        <w:rPr>
          <w:b w:val="1"/>
          <w:color w:val="000000"/>
          <w:sz w:val="26"/>
          <w:szCs w:val="26"/>
          <w:rtl w:val="0"/>
        </w:rPr>
        <w:t xml:space="preserve">2.3 Key CRA Provisions and Their Implications</w:t>
      </w:r>
    </w:p>
    <w:p w:rsidR="00000000" w:rsidDel="00000000" w:rsidP="00000000" w:rsidRDefault="00000000" w:rsidRPr="00000000" w14:paraId="00000062">
      <w:pPr>
        <w:numPr>
          <w:ilvl w:val="0"/>
          <w:numId w:val="10"/>
        </w:numPr>
        <w:spacing w:before="200" w:lineRule="auto"/>
        <w:ind w:left="720" w:hanging="360"/>
        <w:rPr>
          <w:u w:val="none"/>
        </w:rPr>
      </w:pPr>
      <w:r w:rsidDel="00000000" w:rsidR="00000000" w:rsidRPr="00000000">
        <w:rPr>
          <w:b w:val="1"/>
          <w:rtl w:val="0"/>
        </w:rPr>
        <w:t xml:space="preserve">Product Security by Design:</w:t>
      </w:r>
      <w:r w:rsidDel="00000000" w:rsidR="00000000" w:rsidRPr="00000000">
        <w:rPr>
          <w:rtl w:val="0"/>
        </w:rPr>
        <w:t xml:space="preserve"> The solution should verify that devices in our environment adhere to secure coding, secure default configurations, and security risk analyses.  </w:t>
      </w:r>
    </w:p>
    <w:p w:rsidR="00000000" w:rsidDel="00000000" w:rsidP="00000000" w:rsidRDefault="00000000" w:rsidRPr="00000000" w14:paraId="00000063">
      <w:pPr>
        <w:numPr>
          <w:ilvl w:val="0"/>
          <w:numId w:val="10"/>
        </w:numPr>
        <w:ind w:left="720" w:hanging="360"/>
        <w:rPr>
          <w:u w:val="none"/>
        </w:rPr>
      </w:pPr>
      <w:r w:rsidDel="00000000" w:rsidR="00000000" w:rsidRPr="00000000">
        <w:rPr>
          <w:b w:val="1"/>
          <w:rtl w:val="0"/>
        </w:rPr>
        <w:t xml:space="preserve">Post-Market Monitoring:</w:t>
      </w:r>
      <w:r w:rsidDel="00000000" w:rsidR="00000000" w:rsidRPr="00000000">
        <w:rPr>
          <w:rtl w:val="0"/>
        </w:rPr>
        <w:t xml:space="preserve"> Tools to continuously monitor connected devices for vulnerabilities and anomalies, ensuring we can act swiftly when new threats emerge.  </w:t>
      </w:r>
    </w:p>
    <w:p w:rsidR="00000000" w:rsidDel="00000000" w:rsidP="00000000" w:rsidRDefault="00000000" w:rsidRPr="00000000" w14:paraId="00000064">
      <w:pPr>
        <w:numPr>
          <w:ilvl w:val="0"/>
          <w:numId w:val="10"/>
        </w:numPr>
        <w:ind w:left="720" w:hanging="360"/>
        <w:rPr>
          <w:u w:val="none"/>
        </w:rPr>
      </w:pPr>
      <w:r w:rsidDel="00000000" w:rsidR="00000000" w:rsidRPr="00000000">
        <w:rPr>
          <w:b w:val="1"/>
          <w:rtl w:val="0"/>
        </w:rPr>
        <w:t xml:space="preserve">Obligation to Patch and Update:</w:t>
      </w:r>
      <w:r w:rsidDel="00000000" w:rsidR="00000000" w:rsidRPr="00000000">
        <w:rPr>
          <w:rtl w:val="0"/>
        </w:rPr>
        <w:t xml:space="preserve"> Mechanisms to deploy or coordinate patches across diverse device types (IT, OT, IoT).  </w:t>
      </w:r>
    </w:p>
    <w:p w:rsidR="00000000" w:rsidDel="00000000" w:rsidP="00000000" w:rsidRDefault="00000000" w:rsidRPr="00000000" w14:paraId="00000065">
      <w:pPr>
        <w:numPr>
          <w:ilvl w:val="0"/>
          <w:numId w:val="10"/>
        </w:numPr>
        <w:ind w:left="720" w:hanging="360"/>
        <w:rPr>
          <w:u w:val="none"/>
        </w:rPr>
      </w:pPr>
      <w:r w:rsidDel="00000000" w:rsidR="00000000" w:rsidRPr="00000000">
        <w:rPr>
          <w:b w:val="1"/>
          <w:rtl w:val="0"/>
        </w:rPr>
        <w:t xml:space="preserve">Reporting Obligations:</w:t>
      </w:r>
      <w:r w:rsidDel="00000000" w:rsidR="00000000" w:rsidRPr="00000000">
        <w:rPr>
          <w:rtl w:val="0"/>
        </w:rPr>
        <w:t xml:space="preserve"> Efficient generation of security status reports, vulnerability disclosures, and compliance evidence for EU authorities and internal stakeholders.</w:t>
      </w:r>
    </w:p>
    <w:p w:rsidR="00000000" w:rsidDel="00000000" w:rsidP="00000000" w:rsidRDefault="00000000" w:rsidRPr="00000000" w14:paraId="0000006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pPr>
      <w:bookmarkStart w:colFirst="0" w:colLast="0" w:name="_xciq3e1xlhtb" w:id="10"/>
      <w:bookmarkEnd w:id="10"/>
      <w:r w:rsidDel="00000000" w:rsidR="00000000" w:rsidRPr="00000000">
        <w:rPr>
          <w:b w:val="1"/>
          <w:sz w:val="34"/>
          <w:szCs w:val="34"/>
          <w:rtl w:val="0"/>
        </w:rPr>
        <w:t xml:space="preserve">3. Functional and Technical Requirements</w:t>
      </w:r>
      <w:r w:rsidDel="00000000" w:rsidR="00000000" w:rsidRPr="00000000">
        <w:rPr>
          <w:rtl w:val="0"/>
        </w:rPr>
      </w:r>
    </w:p>
    <w:p w:rsidR="00000000" w:rsidDel="00000000" w:rsidP="00000000" w:rsidRDefault="00000000" w:rsidRPr="00000000" w14:paraId="00000068">
      <w:pPr>
        <w:pStyle w:val="Heading3"/>
        <w:rPr>
          <w:b w:val="1"/>
          <w:color w:val="000000"/>
          <w:sz w:val="26"/>
          <w:szCs w:val="26"/>
        </w:rPr>
      </w:pPr>
      <w:bookmarkStart w:colFirst="0" w:colLast="0" w:name="_9pykgdjureea" w:id="11"/>
      <w:bookmarkEnd w:id="11"/>
      <w:r w:rsidDel="00000000" w:rsidR="00000000" w:rsidRPr="00000000">
        <w:rPr>
          <w:b w:val="1"/>
          <w:color w:val="000000"/>
          <w:sz w:val="26"/>
          <w:szCs w:val="26"/>
          <w:rtl w:val="0"/>
        </w:rPr>
        <w:t xml:space="preserve">3.1 Comprehensive Asset Discovery (IT, OT, IoT, Medical Devices, ICS, etc.)</w:t>
      </w:r>
    </w:p>
    <w:p w:rsidR="00000000" w:rsidDel="00000000" w:rsidP="00000000" w:rsidRDefault="00000000" w:rsidRPr="00000000" w14:paraId="00000069">
      <w:pPr>
        <w:numPr>
          <w:ilvl w:val="0"/>
          <w:numId w:val="35"/>
        </w:numPr>
        <w:spacing w:before="200" w:lineRule="auto"/>
        <w:ind w:left="720" w:hanging="360"/>
        <w:rPr/>
      </w:pPr>
      <w:r w:rsidDel="00000000" w:rsidR="00000000" w:rsidRPr="00000000">
        <w:rPr>
          <w:b w:val="1"/>
          <w:rtl w:val="0"/>
        </w:rPr>
        <w:t xml:space="preserve">Agentless and Passive Monitoring  </w:t>
      </w:r>
    </w:p>
    <w:p w:rsidR="00000000" w:rsidDel="00000000" w:rsidP="00000000" w:rsidRDefault="00000000" w:rsidRPr="00000000" w14:paraId="0000006A">
      <w:pPr>
        <w:numPr>
          <w:ilvl w:val="0"/>
          <w:numId w:val="9"/>
        </w:numPr>
        <w:spacing w:after="0" w:before="200" w:lineRule="auto"/>
        <w:ind w:left="1440" w:hanging="360"/>
        <w:rPr>
          <w:u w:val="none"/>
        </w:rPr>
      </w:pPr>
      <w:r w:rsidDel="00000000" w:rsidR="00000000" w:rsidRPr="00000000">
        <w:rPr>
          <w:rtl w:val="0"/>
        </w:rPr>
        <w:t xml:space="preserve">Ability to discover and classify all connected devices without installing agents, which can be impractical or impossible on industrial systems, medical devices, or legacy OS.  </w:t>
      </w:r>
    </w:p>
    <w:p w:rsidR="00000000" w:rsidDel="00000000" w:rsidP="00000000" w:rsidRDefault="00000000" w:rsidRPr="00000000" w14:paraId="0000006B">
      <w:pPr>
        <w:numPr>
          <w:ilvl w:val="0"/>
          <w:numId w:val="9"/>
        </w:numPr>
        <w:ind w:left="1440" w:hanging="360"/>
        <w:rPr>
          <w:u w:val="none"/>
        </w:rPr>
      </w:pPr>
      <w:r w:rsidDel="00000000" w:rsidR="00000000" w:rsidRPr="00000000">
        <w:rPr>
          <w:rtl w:val="0"/>
        </w:rPr>
        <w:t xml:space="preserve">Real-time or near-real-time updates whenever devices enter or exit the network.</w:t>
      </w:r>
    </w:p>
    <w:p w:rsidR="00000000" w:rsidDel="00000000" w:rsidP="00000000" w:rsidRDefault="00000000" w:rsidRPr="00000000" w14:paraId="0000006C">
      <w:pPr>
        <w:numPr>
          <w:ilvl w:val="0"/>
          <w:numId w:val="35"/>
        </w:numPr>
        <w:spacing w:after="0" w:before="200" w:lineRule="auto"/>
        <w:ind w:left="720" w:hanging="360"/>
        <w:rPr/>
      </w:pPr>
      <w:r w:rsidDel="00000000" w:rsidR="00000000" w:rsidRPr="00000000">
        <w:rPr>
          <w:b w:val="1"/>
          <w:rtl w:val="0"/>
        </w:rPr>
        <w:t xml:space="preserve">Granular Device Fingerprinting  </w:t>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Profile devices at a deep level, including OS, firmware version, protocols in use, and typical communication patterns.  </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Automatically map devices to relevant CRA risk categories based on their criticality and function.</w:t>
      </w:r>
    </w:p>
    <w:p w:rsidR="00000000" w:rsidDel="00000000" w:rsidP="00000000" w:rsidRDefault="00000000" w:rsidRPr="00000000" w14:paraId="0000006F">
      <w:pPr>
        <w:numPr>
          <w:ilvl w:val="0"/>
          <w:numId w:val="35"/>
        </w:numPr>
        <w:spacing w:after="0" w:before="200" w:lineRule="auto"/>
        <w:ind w:left="720" w:hanging="360"/>
        <w:rPr/>
      </w:pPr>
      <w:r w:rsidDel="00000000" w:rsidR="00000000" w:rsidRPr="00000000">
        <w:rPr>
          <w:b w:val="1"/>
          <w:rtl w:val="0"/>
        </w:rPr>
        <w:t xml:space="preserve">Support for Segmented Networks  </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Discovery and visibility must extend into separate VLANs, air-gapped environments, or operational segments typical of ICS/SCADA setups.</w:t>
      </w:r>
    </w:p>
    <w:p w:rsidR="00000000" w:rsidDel="00000000" w:rsidP="00000000" w:rsidRDefault="00000000" w:rsidRPr="00000000" w14:paraId="00000071">
      <w:pPr>
        <w:pStyle w:val="Heading3"/>
        <w:rPr>
          <w:b w:val="1"/>
          <w:color w:val="000000"/>
          <w:sz w:val="26"/>
          <w:szCs w:val="26"/>
        </w:rPr>
      </w:pPr>
      <w:bookmarkStart w:colFirst="0" w:colLast="0" w:name="_7a9b8e2670uu" w:id="12"/>
      <w:bookmarkEnd w:id="12"/>
      <w:r w:rsidDel="00000000" w:rsidR="00000000" w:rsidRPr="00000000">
        <w:rPr>
          <w:b w:val="1"/>
          <w:color w:val="000000"/>
          <w:sz w:val="26"/>
          <w:szCs w:val="26"/>
          <w:rtl w:val="0"/>
        </w:rPr>
        <w:t xml:space="preserve">3.2 Passive Monitoring and Risk-Based Classification</w:t>
      </w:r>
    </w:p>
    <w:p w:rsidR="00000000" w:rsidDel="00000000" w:rsidP="00000000" w:rsidRDefault="00000000" w:rsidRPr="00000000" w14:paraId="00000072">
      <w:pPr>
        <w:numPr>
          <w:ilvl w:val="0"/>
          <w:numId w:val="33"/>
        </w:numPr>
        <w:spacing w:before="200" w:lineRule="auto"/>
        <w:ind w:left="720" w:hanging="360"/>
        <w:rPr>
          <w:b w:val="1"/>
        </w:rPr>
      </w:pPr>
      <w:r w:rsidDel="00000000" w:rsidR="00000000" w:rsidRPr="00000000">
        <w:rPr>
          <w:b w:val="1"/>
          <w:rtl w:val="0"/>
        </w:rPr>
        <w:t xml:space="preserve">Continuous Network Traffic Analysis  </w:t>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Correlate traffic patterns to identify device behavior anomalies or suspicious activity without generating disruptive network scans.  </w:t>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a baseline of normal communications for each device type or model, flagging deviations indicative of compromise.</w:t>
      </w:r>
    </w:p>
    <w:p w:rsidR="00000000" w:rsidDel="00000000" w:rsidP="00000000" w:rsidRDefault="00000000" w:rsidRPr="00000000" w14:paraId="00000075">
      <w:pPr>
        <w:numPr>
          <w:ilvl w:val="0"/>
          <w:numId w:val="33"/>
        </w:numPr>
        <w:spacing w:after="0" w:before="200" w:lineRule="auto"/>
        <w:ind w:left="720" w:hanging="360"/>
        <w:rPr>
          <w:b w:val="1"/>
        </w:rPr>
      </w:pPr>
      <w:r w:rsidDel="00000000" w:rsidR="00000000" w:rsidRPr="00000000">
        <w:rPr>
          <w:b w:val="1"/>
          <w:rtl w:val="0"/>
        </w:rPr>
        <w:t xml:space="preserve">Automated Risk Scoring  </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Dynamically score device risk based on vulnerability data, known exploits, device criticality, and real-time threat intelligence.  </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Integrate with existing risk management frameworks to ensure consistent prioritization across the organization.</w:t>
      </w:r>
    </w:p>
    <w:p w:rsidR="00000000" w:rsidDel="00000000" w:rsidP="00000000" w:rsidRDefault="00000000" w:rsidRPr="00000000" w14:paraId="00000078">
      <w:pPr>
        <w:numPr>
          <w:ilvl w:val="0"/>
          <w:numId w:val="33"/>
        </w:numPr>
        <w:spacing w:after="0" w:before="200" w:lineRule="auto"/>
        <w:ind w:left="720" w:hanging="360"/>
        <w:rPr>
          <w:b w:val="1"/>
        </w:rPr>
      </w:pPr>
      <w:r w:rsidDel="00000000" w:rsidR="00000000" w:rsidRPr="00000000">
        <w:rPr>
          <w:b w:val="1"/>
          <w:rtl w:val="0"/>
        </w:rPr>
        <w:t xml:space="preserve">Unified Dashboard  </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Present a single pane of glass for device status, risk scores, and recommended remediation steps, accessible to both security teams and executive stakeholders.</w:t>
      </w:r>
    </w:p>
    <w:p w:rsidR="00000000" w:rsidDel="00000000" w:rsidP="00000000" w:rsidRDefault="00000000" w:rsidRPr="00000000" w14:paraId="0000007A">
      <w:pPr>
        <w:pStyle w:val="Heading3"/>
        <w:rPr>
          <w:b w:val="1"/>
          <w:color w:val="000000"/>
          <w:sz w:val="26"/>
          <w:szCs w:val="26"/>
        </w:rPr>
      </w:pPr>
      <w:bookmarkStart w:colFirst="0" w:colLast="0" w:name="_t1x4p5jw7g8h" w:id="13"/>
      <w:bookmarkEnd w:id="13"/>
      <w:r w:rsidDel="00000000" w:rsidR="00000000" w:rsidRPr="00000000">
        <w:rPr>
          <w:b w:val="1"/>
          <w:color w:val="000000"/>
          <w:sz w:val="26"/>
          <w:szCs w:val="26"/>
          <w:rtl w:val="0"/>
        </w:rPr>
        <w:t xml:space="preserve">3.3 Threat Intelligence and Vulnerability Prioritization</w:t>
      </w:r>
    </w:p>
    <w:p w:rsidR="00000000" w:rsidDel="00000000" w:rsidP="00000000" w:rsidRDefault="00000000" w:rsidRPr="00000000" w14:paraId="0000007B">
      <w:pPr>
        <w:numPr>
          <w:ilvl w:val="0"/>
          <w:numId w:val="5"/>
        </w:numPr>
        <w:spacing w:before="200" w:lineRule="auto"/>
        <w:ind w:left="720" w:hanging="360"/>
        <w:rPr>
          <w:b w:val="1"/>
        </w:rPr>
      </w:pPr>
      <w:r w:rsidDel="00000000" w:rsidR="00000000" w:rsidRPr="00000000">
        <w:rPr>
          <w:b w:val="1"/>
          <w:rtl w:val="0"/>
        </w:rPr>
        <w:t xml:space="preserve">Built-In Vulnerability Feeds  </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Leverage multiple sources of threat intelligence (e.g., vendor advisories, open-source feeds, commercial intelligence) to correlate vulnerabilities with connected devices.  </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Update vulnerability databases continuously to stay current with zero-day threats.</w:t>
      </w:r>
    </w:p>
    <w:p w:rsidR="00000000" w:rsidDel="00000000" w:rsidP="00000000" w:rsidRDefault="00000000" w:rsidRPr="00000000" w14:paraId="0000007E">
      <w:pPr>
        <w:numPr>
          <w:ilvl w:val="0"/>
          <w:numId w:val="5"/>
        </w:numPr>
        <w:spacing w:after="0" w:before="200" w:lineRule="auto"/>
        <w:ind w:left="720" w:hanging="360"/>
        <w:rPr>
          <w:u w:val="none"/>
        </w:rPr>
      </w:pPr>
      <w:r w:rsidDel="00000000" w:rsidR="00000000" w:rsidRPr="00000000">
        <w:rPr>
          <w:b w:val="1"/>
          <w:rtl w:val="0"/>
        </w:rPr>
        <w:t xml:space="preserve">Contextualized Prioritization</w:t>
      </w:r>
      <w:r w:rsidDel="00000000" w:rsidR="00000000" w:rsidRPr="00000000">
        <w:rPr>
          <w:rtl w:val="0"/>
        </w:rPr>
        <w:t xml:space="preserve">  </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Factor in real-world exploit availability, device exposure, business criticality, and active threat campaigns to triage vulnerabilities.  </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an actionable, ranked list of recommended patches or mitigations.</w:t>
      </w:r>
    </w:p>
    <w:p w:rsidR="00000000" w:rsidDel="00000000" w:rsidP="00000000" w:rsidRDefault="00000000" w:rsidRPr="00000000" w14:paraId="00000081">
      <w:pPr>
        <w:numPr>
          <w:ilvl w:val="0"/>
          <w:numId w:val="5"/>
        </w:numPr>
        <w:spacing w:after="0" w:before="200" w:lineRule="auto"/>
        <w:ind w:left="720" w:hanging="360"/>
        <w:rPr>
          <w:u w:val="none"/>
        </w:rPr>
      </w:pPr>
      <w:r w:rsidDel="00000000" w:rsidR="00000000" w:rsidRPr="00000000">
        <w:rPr>
          <w:b w:val="1"/>
          <w:rtl w:val="0"/>
        </w:rPr>
        <w:t xml:space="preserve">Automated Alerts and Workflows </w:t>
      </w:r>
      <w:r w:rsidDel="00000000" w:rsidR="00000000" w:rsidRPr="00000000">
        <w:rPr>
          <w:rtl w:val="0"/>
        </w:rPr>
        <w:t xml:space="preserve"> </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Trigger alerts or tickets in ITSM tools (e.g., ServiceNow, Jira) for high-risk vulnerabilities.  </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Integrate with patch management systems to streamline remediation tasks.</w:t>
      </w:r>
    </w:p>
    <w:p w:rsidR="00000000" w:rsidDel="00000000" w:rsidP="00000000" w:rsidRDefault="00000000" w:rsidRPr="00000000" w14:paraId="00000084">
      <w:pPr>
        <w:pStyle w:val="Heading3"/>
        <w:rPr>
          <w:b w:val="1"/>
          <w:color w:val="000000"/>
          <w:sz w:val="26"/>
          <w:szCs w:val="26"/>
        </w:rPr>
      </w:pPr>
      <w:bookmarkStart w:colFirst="0" w:colLast="0" w:name="_6y65xrcx02f6" w:id="14"/>
      <w:bookmarkEnd w:id="14"/>
      <w:r w:rsidDel="00000000" w:rsidR="00000000" w:rsidRPr="00000000">
        <w:rPr>
          <w:b w:val="1"/>
          <w:color w:val="000000"/>
          <w:sz w:val="26"/>
          <w:szCs w:val="26"/>
          <w:rtl w:val="0"/>
        </w:rPr>
        <w:t xml:space="preserve">3.4 Incident Detection, Response, and Lifecycle Management</w:t>
      </w:r>
    </w:p>
    <w:p w:rsidR="00000000" w:rsidDel="00000000" w:rsidP="00000000" w:rsidRDefault="00000000" w:rsidRPr="00000000" w14:paraId="00000085">
      <w:pPr>
        <w:numPr>
          <w:ilvl w:val="0"/>
          <w:numId w:val="32"/>
        </w:numPr>
        <w:spacing w:before="200" w:lineRule="auto"/>
        <w:ind w:left="720" w:hanging="360"/>
        <w:rPr>
          <w:u w:val="none"/>
        </w:rPr>
      </w:pPr>
      <w:r w:rsidDel="00000000" w:rsidR="00000000" w:rsidRPr="00000000">
        <w:rPr>
          <w:b w:val="1"/>
          <w:rtl w:val="0"/>
        </w:rPr>
        <w:t xml:space="preserve">Real-Time Anomaly Detection</w:t>
      </w:r>
      <w:r w:rsidDel="00000000" w:rsidR="00000000" w:rsidRPr="00000000">
        <w:rPr>
          <w:rtl w:val="0"/>
        </w:rPr>
        <w:t xml:space="preserve">  </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Use behavior analytics to spot unusual device or user actions (e.g., unauthorized connection attempts, abnormal protocol usage).  </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Correlate multiple events to identify advanced persistent threats or coordinated attacks.</w:t>
      </w:r>
    </w:p>
    <w:p w:rsidR="00000000" w:rsidDel="00000000" w:rsidP="00000000" w:rsidRDefault="00000000" w:rsidRPr="00000000" w14:paraId="00000088">
      <w:pPr>
        <w:numPr>
          <w:ilvl w:val="0"/>
          <w:numId w:val="32"/>
        </w:numPr>
        <w:spacing w:after="0" w:before="200" w:lineRule="auto"/>
        <w:ind w:left="720" w:hanging="360"/>
        <w:rPr>
          <w:b w:val="1"/>
        </w:rPr>
      </w:pPr>
      <w:r w:rsidDel="00000000" w:rsidR="00000000" w:rsidRPr="00000000">
        <w:rPr>
          <w:b w:val="1"/>
          <w:rtl w:val="0"/>
        </w:rPr>
        <w:t xml:space="preserve">Incident Response Orchestration  </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Enable one-click or automated device isolation for critical threats, particularly in OT/ICS networks, with minimal disruption to operations.  </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pre-built or customizable playbooks for different incident categories (ransomware, exfiltration, insider threat).</w:t>
      </w:r>
    </w:p>
    <w:p w:rsidR="00000000" w:rsidDel="00000000" w:rsidP="00000000" w:rsidRDefault="00000000" w:rsidRPr="00000000" w14:paraId="0000008B">
      <w:pPr>
        <w:numPr>
          <w:ilvl w:val="0"/>
          <w:numId w:val="32"/>
        </w:numPr>
        <w:spacing w:after="0" w:before="200" w:lineRule="auto"/>
        <w:ind w:left="720" w:hanging="360"/>
        <w:rPr>
          <w:b w:val="1"/>
        </w:rPr>
      </w:pPr>
      <w:r w:rsidDel="00000000" w:rsidR="00000000" w:rsidRPr="00000000">
        <w:rPr>
          <w:b w:val="1"/>
          <w:rtl w:val="0"/>
        </w:rPr>
        <w:t xml:space="preserve">Lifecycle Management  </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Ensure devices can be monitored from introduction to decommissioning, with consistent security posture checks throughout.  </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Logs and forensic data must be preserved for regulatory compliance and internal investigations.</w:t>
      </w:r>
    </w:p>
    <w:p w:rsidR="00000000" w:rsidDel="00000000" w:rsidP="00000000" w:rsidRDefault="00000000" w:rsidRPr="00000000" w14:paraId="0000008E">
      <w:pPr>
        <w:pStyle w:val="Heading3"/>
        <w:rPr>
          <w:b w:val="1"/>
          <w:color w:val="000000"/>
          <w:sz w:val="26"/>
          <w:szCs w:val="26"/>
        </w:rPr>
      </w:pPr>
      <w:bookmarkStart w:colFirst="0" w:colLast="0" w:name="_kwdusaoap4n9" w:id="15"/>
      <w:bookmarkEnd w:id="15"/>
      <w:r w:rsidDel="00000000" w:rsidR="00000000" w:rsidRPr="00000000">
        <w:rPr>
          <w:b w:val="1"/>
          <w:color w:val="000000"/>
          <w:sz w:val="26"/>
          <w:szCs w:val="26"/>
          <w:rtl w:val="0"/>
        </w:rPr>
        <w:t xml:space="preserve">3.5 Secure Development and Patch Management Lifecycle Support</w:t>
      </w:r>
    </w:p>
    <w:p w:rsidR="00000000" w:rsidDel="00000000" w:rsidP="00000000" w:rsidRDefault="00000000" w:rsidRPr="00000000" w14:paraId="0000008F">
      <w:pPr>
        <w:numPr>
          <w:ilvl w:val="0"/>
          <w:numId w:val="34"/>
        </w:numPr>
        <w:spacing w:before="200" w:lineRule="auto"/>
        <w:ind w:left="720" w:hanging="360"/>
        <w:rPr>
          <w:b w:val="1"/>
        </w:rPr>
      </w:pPr>
      <w:r w:rsidDel="00000000" w:rsidR="00000000" w:rsidRPr="00000000">
        <w:rPr>
          <w:b w:val="1"/>
          <w:rtl w:val="0"/>
        </w:rPr>
        <w:t xml:space="preserve">CRA-Conscious Development Processes  </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For in-house developed software or firmware, the solution should provide guidelines or scanning capabilities to detect vulnerabilities pre-release.  </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Integrate with DevOps pipelines (CI/CD) if necessary to identify code-level issues early.</w:t>
      </w:r>
    </w:p>
    <w:p w:rsidR="00000000" w:rsidDel="00000000" w:rsidP="00000000" w:rsidRDefault="00000000" w:rsidRPr="00000000" w14:paraId="00000092">
      <w:pPr>
        <w:numPr>
          <w:ilvl w:val="0"/>
          <w:numId w:val="34"/>
        </w:numPr>
        <w:spacing w:after="0" w:before="200" w:lineRule="auto"/>
        <w:ind w:left="720" w:hanging="360"/>
        <w:rPr>
          <w:b w:val="1"/>
        </w:rPr>
      </w:pPr>
      <w:r w:rsidDel="00000000" w:rsidR="00000000" w:rsidRPr="00000000">
        <w:rPr>
          <w:b w:val="1"/>
          <w:rtl w:val="0"/>
        </w:rPr>
        <w:t xml:space="preserve">Automated Patch Delivery  </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Centralized patch or firmware deployment for diverse device categories (IT, OT, IoT) whenever feasible.  </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Reporting on patch status, success rates, and rollback procedures for incomplete or failed updates.</w:t>
      </w:r>
    </w:p>
    <w:p w:rsidR="00000000" w:rsidDel="00000000" w:rsidP="00000000" w:rsidRDefault="00000000" w:rsidRPr="00000000" w14:paraId="00000095">
      <w:pPr>
        <w:numPr>
          <w:ilvl w:val="0"/>
          <w:numId w:val="34"/>
        </w:numPr>
        <w:spacing w:after="0" w:before="200" w:lineRule="auto"/>
        <w:ind w:left="720" w:hanging="360"/>
        <w:rPr>
          <w:u w:val="none"/>
        </w:rPr>
      </w:pPr>
      <w:r w:rsidDel="00000000" w:rsidR="00000000" w:rsidRPr="00000000">
        <w:rPr>
          <w:b w:val="1"/>
          <w:rtl w:val="0"/>
        </w:rPr>
        <w:t xml:space="preserve">SBOM (Software Bill of Materials) Insight </w:t>
      </w:r>
      <w:r w:rsidDel="00000000" w:rsidR="00000000" w:rsidRPr="00000000">
        <w:rPr>
          <w:rtl w:val="0"/>
        </w:rPr>
        <w:t xml:space="preserve"> </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Capability to track known software components within devices, aligning with the CRA’s push for supply chain transparency.  </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Correlate vulnerabilities to specific libraries or modules in device firmware.</w:t>
      </w:r>
    </w:p>
    <w:p w:rsidR="00000000" w:rsidDel="00000000" w:rsidP="00000000" w:rsidRDefault="00000000" w:rsidRPr="00000000" w14:paraId="00000098">
      <w:pPr>
        <w:pStyle w:val="Heading3"/>
        <w:rPr>
          <w:b w:val="1"/>
          <w:color w:val="000000"/>
          <w:sz w:val="26"/>
          <w:szCs w:val="26"/>
        </w:rPr>
      </w:pPr>
      <w:bookmarkStart w:colFirst="0" w:colLast="0" w:name="_xy7hgu99hmt6" w:id="16"/>
      <w:bookmarkEnd w:id="16"/>
      <w:r w:rsidDel="00000000" w:rsidR="00000000" w:rsidRPr="00000000">
        <w:rPr>
          <w:b w:val="1"/>
          <w:color w:val="000000"/>
          <w:sz w:val="26"/>
          <w:szCs w:val="26"/>
          <w:rtl w:val="0"/>
        </w:rPr>
        <w:t xml:space="preserve">3.6 Supply Chain Risk Visibility</w:t>
      </w:r>
    </w:p>
    <w:p w:rsidR="00000000" w:rsidDel="00000000" w:rsidP="00000000" w:rsidRDefault="00000000" w:rsidRPr="00000000" w14:paraId="00000099">
      <w:pPr>
        <w:numPr>
          <w:ilvl w:val="0"/>
          <w:numId w:val="4"/>
        </w:numPr>
        <w:spacing w:before="200" w:lineRule="auto"/>
        <w:ind w:left="720" w:hanging="360"/>
        <w:rPr>
          <w:b w:val="1"/>
        </w:rPr>
      </w:pPr>
      <w:r w:rsidDel="00000000" w:rsidR="00000000" w:rsidRPr="00000000">
        <w:rPr>
          <w:b w:val="1"/>
          <w:rtl w:val="0"/>
        </w:rPr>
        <w:t xml:space="preserve">Tracking Third-Party Components  </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Identify and classify OEM or third-party software components embedded in connected devices.  </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Monitor for vulnerabilities in these components across the device’s operational lifespan.</w:t>
      </w:r>
    </w:p>
    <w:p w:rsidR="00000000" w:rsidDel="00000000" w:rsidP="00000000" w:rsidRDefault="00000000" w:rsidRPr="00000000" w14:paraId="0000009C">
      <w:pPr>
        <w:numPr>
          <w:ilvl w:val="0"/>
          <w:numId w:val="4"/>
        </w:numPr>
        <w:spacing w:after="0" w:before="200" w:lineRule="auto"/>
        <w:ind w:left="720" w:hanging="360"/>
        <w:rPr>
          <w:b w:val="1"/>
        </w:rPr>
      </w:pPr>
      <w:r w:rsidDel="00000000" w:rsidR="00000000" w:rsidRPr="00000000">
        <w:rPr>
          <w:b w:val="1"/>
          <w:rtl w:val="0"/>
        </w:rPr>
        <w:t xml:space="preserve">Vendor Compliance Checks  </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Provide or integrate with supplier risk scoring solutions, ensuring external manufacturers align with CRA security obligations.  </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 intelligence-sharing about discovered vulnerabilities or threats relevant to specific hardware/firmware vendors.</w:t>
      </w:r>
    </w:p>
    <w:p w:rsidR="00000000" w:rsidDel="00000000" w:rsidP="00000000" w:rsidRDefault="00000000" w:rsidRPr="00000000" w14:paraId="0000009F">
      <w:pPr>
        <w:numPr>
          <w:ilvl w:val="0"/>
          <w:numId w:val="4"/>
        </w:numPr>
        <w:spacing w:after="0" w:before="200" w:lineRule="auto"/>
        <w:ind w:left="720" w:hanging="360"/>
        <w:rPr>
          <w:u w:val="none"/>
        </w:rPr>
      </w:pPr>
      <w:r w:rsidDel="00000000" w:rsidR="00000000" w:rsidRPr="00000000">
        <w:rPr>
          <w:b w:val="1"/>
          <w:rtl w:val="0"/>
        </w:rPr>
        <w:t xml:space="preserve">Evidence of Compliance </w:t>
      </w:r>
      <w:r w:rsidDel="00000000" w:rsidR="00000000" w:rsidRPr="00000000">
        <w:rPr>
          <w:rtl w:val="0"/>
        </w:rPr>
        <w:t xml:space="preserve"> </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Generate supplier or device-specific compliance artifacts showing adherence to CRA’s supply chain requirements.  </w:t>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Flag unapproved or unverified components discovered in the environment.</w:t>
      </w:r>
    </w:p>
    <w:p w:rsidR="00000000" w:rsidDel="00000000" w:rsidP="00000000" w:rsidRDefault="00000000" w:rsidRPr="00000000" w14:paraId="000000A2">
      <w:pPr>
        <w:pStyle w:val="Heading3"/>
        <w:rPr>
          <w:b w:val="1"/>
          <w:color w:val="000000"/>
          <w:sz w:val="26"/>
          <w:szCs w:val="26"/>
        </w:rPr>
      </w:pPr>
      <w:bookmarkStart w:colFirst="0" w:colLast="0" w:name="_41ywqweay9i1" w:id="17"/>
      <w:bookmarkEnd w:id="17"/>
      <w:r w:rsidDel="00000000" w:rsidR="00000000" w:rsidRPr="00000000">
        <w:rPr>
          <w:b w:val="1"/>
          <w:color w:val="000000"/>
          <w:sz w:val="26"/>
          <w:szCs w:val="26"/>
          <w:rtl w:val="0"/>
        </w:rPr>
        <w:t xml:space="preserve">3.7 Reporting, Governance, and Regulatory Audit Readiness</w:t>
      </w:r>
    </w:p>
    <w:p w:rsidR="00000000" w:rsidDel="00000000" w:rsidP="00000000" w:rsidRDefault="00000000" w:rsidRPr="00000000" w14:paraId="000000A3">
      <w:pPr>
        <w:numPr>
          <w:ilvl w:val="0"/>
          <w:numId w:val="6"/>
        </w:numPr>
        <w:spacing w:before="200" w:lineRule="auto"/>
        <w:ind w:left="720" w:hanging="360"/>
        <w:rPr>
          <w:b w:val="1"/>
        </w:rPr>
      </w:pPr>
      <w:r w:rsidDel="00000000" w:rsidR="00000000" w:rsidRPr="00000000">
        <w:rPr>
          <w:b w:val="1"/>
          <w:rtl w:val="0"/>
        </w:rPr>
        <w:t xml:space="preserve">CRA-Specific Dashboards  </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easily configurable dashboards mapping each connected device to the relevant CRA requirements.  </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highlight of risk areas or compliance gaps needing remediation.</w:t>
      </w:r>
    </w:p>
    <w:p w:rsidR="00000000" w:rsidDel="00000000" w:rsidP="00000000" w:rsidRDefault="00000000" w:rsidRPr="00000000" w14:paraId="000000A6">
      <w:pPr>
        <w:numPr>
          <w:ilvl w:val="0"/>
          <w:numId w:val="6"/>
        </w:numPr>
        <w:spacing w:after="0" w:before="200" w:lineRule="auto"/>
        <w:ind w:left="720" w:hanging="360"/>
        <w:rPr>
          <w:b w:val="1"/>
        </w:rPr>
      </w:pPr>
      <w:r w:rsidDel="00000000" w:rsidR="00000000" w:rsidRPr="00000000">
        <w:rPr>
          <w:b w:val="1"/>
          <w:rtl w:val="0"/>
        </w:rPr>
        <w:t xml:space="preserve">Audit Trails and Evidence  </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Secure, tamper-evident logs capturing all asset changes, vulnerability detections, patch deployments, and incident responses.  </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Built-in data retention controls to align with EU requirements for recordkeeping.</w:t>
      </w:r>
    </w:p>
    <w:p w:rsidR="00000000" w:rsidDel="00000000" w:rsidP="00000000" w:rsidRDefault="00000000" w:rsidRPr="00000000" w14:paraId="000000A9">
      <w:pPr>
        <w:numPr>
          <w:ilvl w:val="0"/>
          <w:numId w:val="6"/>
        </w:numPr>
        <w:spacing w:after="0" w:before="200" w:lineRule="auto"/>
        <w:ind w:left="720" w:hanging="360"/>
        <w:rPr>
          <w:b w:val="1"/>
        </w:rPr>
      </w:pPr>
      <w:r w:rsidDel="00000000" w:rsidR="00000000" w:rsidRPr="00000000">
        <w:rPr>
          <w:b w:val="1"/>
          <w:rtl w:val="0"/>
        </w:rPr>
        <w:t xml:space="preserve">Executive and Regulator Reporting  </w:t>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On-demand generation of detailed compliance reports suitable for internal audits or submission to authorities.  </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High-level summaries for board-level updates, focusing on key metrics (risk reduction, patch compliance, incident trends).</w:t>
      </w:r>
    </w:p>
    <w:p w:rsidR="00000000" w:rsidDel="00000000" w:rsidP="00000000" w:rsidRDefault="00000000" w:rsidRPr="00000000" w14:paraId="000000A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Style w:val="Heading2"/>
        <w:rPr/>
      </w:pPr>
      <w:bookmarkStart w:colFirst="0" w:colLast="0" w:name="_e429obhpvcr8" w:id="18"/>
      <w:bookmarkEnd w:id="18"/>
      <w:r w:rsidDel="00000000" w:rsidR="00000000" w:rsidRPr="00000000">
        <w:rPr>
          <w:b w:val="1"/>
          <w:sz w:val="34"/>
          <w:szCs w:val="34"/>
          <w:rtl w:val="0"/>
        </w:rPr>
        <w:t xml:space="preserve">4. Implementation Approach and Project Delivery</w:t>
      </w:r>
      <w:r w:rsidDel="00000000" w:rsidR="00000000" w:rsidRPr="00000000">
        <w:rPr>
          <w:rtl w:val="0"/>
        </w:rPr>
      </w:r>
    </w:p>
    <w:p w:rsidR="00000000" w:rsidDel="00000000" w:rsidP="00000000" w:rsidRDefault="00000000" w:rsidRPr="00000000" w14:paraId="000000AE">
      <w:pPr>
        <w:pStyle w:val="Heading3"/>
        <w:rPr>
          <w:b w:val="1"/>
          <w:color w:val="000000"/>
          <w:sz w:val="26"/>
          <w:szCs w:val="26"/>
        </w:rPr>
      </w:pPr>
      <w:bookmarkStart w:colFirst="0" w:colLast="0" w:name="_3p9zszp9w5f0" w:id="19"/>
      <w:bookmarkEnd w:id="19"/>
      <w:r w:rsidDel="00000000" w:rsidR="00000000" w:rsidRPr="00000000">
        <w:rPr>
          <w:b w:val="1"/>
          <w:color w:val="000000"/>
          <w:sz w:val="26"/>
          <w:szCs w:val="26"/>
          <w:rtl w:val="0"/>
        </w:rPr>
        <w:t xml:space="preserve">4.1 Deployment Models (On-Prem, Cloud, Hybrid)</w:t>
      </w:r>
    </w:p>
    <w:p w:rsidR="00000000" w:rsidDel="00000000" w:rsidP="00000000" w:rsidRDefault="00000000" w:rsidRPr="00000000" w14:paraId="000000AF">
      <w:pPr>
        <w:numPr>
          <w:ilvl w:val="0"/>
          <w:numId w:val="25"/>
        </w:numPr>
        <w:spacing w:before="200" w:lineRule="auto"/>
        <w:ind w:left="720" w:hanging="360"/>
        <w:rPr>
          <w:u w:val="none"/>
        </w:rPr>
      </w:pPr>
      <w:r w:rsidDel="00000000" w:rsidR="00000000" w:rsidRPr="00000000">
        <w:rPr>
          <w:b w:val="1"/>
          <w:rtl w:val="0"/>
        </w:rPr>
        <w:t xml:space="preserve">Cloud-Hosted SaaS:</w:t>
      </w:r>
      <w:r w:rsidDel="00000000" w:rsidR="00000000" w:rsidRPr="00000000">
        <w:rPr>
          <w:rtl w:val="0"/>
        </w:rPr>
        <w:t xml:space="preserve"> Solutions must offer secure cloud hosting, ensuring data residency, GDPR alignment, and high availability.  </w:t>
      </w:r>
    </w:p>
    <w:p w:rsidR="00000000" w:rsidDel="00000000" w:rsidP="00000000" w:rsidRDefault="00000000" w:rsidRPr="00000000" w14:paraId="000000B0">
      <w:pPr>
        <w:numPr>
          <w:ilvl w:val="0"/>
          <w:numId w:val="25"/>
        </w:numPr>
        <w:ind w:left="720" w:hanging="360"/>
        <w:rPr>
          <w:u w:val="none"/>
        </w:rPr>
      </w:pPr>
      <w:r w:rsidDel="00000000" w:rsidR="00000000" w:rsidRPr="00000000">
        <w:rPr>
          <w:b w:val="1"/>
          <w:rtl w:val="0"/>
        </w:rPr>
        <w:t xml:space="preserve">On-Prem Appliance:</w:t>
      </w:r>
      <w:r w:rsidDel="00000000" w:rsidR="00000000" w:rsidRPr="00000000">
        <w:rPr>
          <w:rtl w:val="0"/>
        </w:rPr>
        <w:t xml:space="preserve"> Provide hardware or virtual appliances if certain operational environments prohibit cloud connections (e.g., sensitive OT networks).  </w:t>
      </w:r>
    </w:p>
    <w:p w:rsidR="00000000" w:rsidDel="00000000" w:rsidP="00000000" w:rsidRDefault="00000000" w:rsidRPr="00000000" w14:paraId="000000B1">
      <w:pPr>
        <w:numPr>
          <w:ilvl w:val="0"/>
          <w:numId w:val="25"/>
        </w:numPr>
        <w:ind w:left="720" w:hanging="360"/>
        <w:rPr>
          <w:u w:val="none"/>
        </w:rPr>
      </w:pPr>
      <w:r w:rsidDel="00000000" w:rsidR="00000000" w:rsidRPr="00000000">
        <w:rPr>
          <w:b w:val="1"/>
          <w:rtl w:val="0"/>
        </w:rPr>
        <w:t xml:space="preserve">Hybrid Integration</w:t>
      </w:r>
      <w:r w:rsidDel="00000000" w:rsidR="00000000" w:rsidRPr="00000000">
        <w:rPr>
          <w:rtl w:val="0"/>
        </w:rPr>
        <w:t xml:space="preserve">: If partial on-prem and partial cloud usage is required, detail how data synchronization, redundancy, and compliance concerns are handled.</w:t>
      </w:r>
    </w:p>
    <w:p w:rsidR="00000000" w:rsidDel="00000000" w:rsidP="00000000" w:rsidRDefault="00000000" w:rsidRPr="00000000" w14:paraId="000000B2">
      <w:pPr>
        <w:pStyle w:val="Heading3"/>
        <w:rPr>
          <w:b w:val="1"/>
          <w:color w:val="000000"/>
          <w:sz w:val="26"/>
          <w:szCs w:val="26"/>
        </w:rPr>
      </w:pPr>
      <w:bookmarkStart w:colFirst="0" w:colLast="0" w:name="_6ugnemnpar9q" w:id="20"/>
      <w:bookmarkEnd w:id="20"/>
      <w:r w:rsidDel="00000000" w:rsidR="00000000" w:rsidRPr="00000000">
        <w:rPr>
          <w:b w:val="1"/>
          <w:color w:val="000000"/>
          <w:sz w:val="26"/>
          <w:szCs w:val="26"/>
          <w:rtl w:val="0"/>
        </w:rPr>
        <w:t xml:space="preserve">4.2 Phased Rollout and Milestones</w:t>
      </w:r>
    </w:p>
    <w:p w:rsidR="00000000" w:rsidDel="00000000" w:rsidP="00000000" w:rsidRDefault="00000000" w:rsidRPr="00000000" w14:paraId="000000B3">
      <w:pPr>
        <w:numPr>
          <w:ilvl w:val="0"/>
          <w:numId w:val="2"/>
        </w:numPr>
        <w:spacing w:before="200" w:lineRule="auto"/>
        <w:ind w:left="720" w:hanging="360"/>
        <w:rPr>
          <w:b w:val="1"/>
        </w:rPr>
      </w:pPr>
      <w:r w:rsidDel="00000000" w:rsidR="00000000" w:rsidRPr="00000000">
        <w:rPr>
          <w:b w:val="1"/>
          <w:rtl w:val="0"/>
        </w:rPr>
        <w:t xml:space="preserve">Phase 1: Assessment and Planning  </w:t>
      </w:r>
    </w:p>
    <w:p w:rsidR="00000000" w:rsidDel="00000000" w:rsidP="00000000" w:rsidRDefault="00000000" w:rsidRPr="00000000" w14:paraId="000000B4">
      <w:pPr>
        <w:numPr>
          <w:ilvl w:val="0"/>
          <w:numId w:val="28"/>
        </w:numPr>
        <w:spacing w:after="0" w:before="200" w:lineRule="auto"/>
        <w:ind w:left="1440" w:hanging="360"/>
        <w:rPr>
          <w:u w:val="none"/>
        </w:rPr>
      </w:pPr>
      <w:r w:rsidDel="00000000" w:rsidR="00000000" w:rsidRPr="00000000">
        <w:rPr>
          <w:rtl w:val="0"/>
        </w:rPr>
        <w:t xml:space="preserve">Evaluate current inventory, threat profiles, and compliance readiness.  </w:t>
      </w:r>
    </w:p>
    <w:p w:rsidR="00000000" w:rsidDel="00000000" w:rsidP="00000000" w:rsidRDefault="00000000" w:rsidRPr="00000000" w14:paraId="000000B5">
      <w:pPr>
        <w:numPr>
          <w:ilvl w:val="0"/>
          <w:numId w:val="28"/>
        </w:numPr>
        <w:ind w:left="1440" w:hanging="360"/>
        <w:rPr>
          <w:u w:val="none"/>
        </w:rPr>
      </w:pPr>
      <w:r w:rsidDel="00000000" w:rsidR="00000000" w:rsidRPr="00000000">
        <w:rPr>
          <w:rtl w:val="0"/>
        </w:rPr>
        <w:t xml:space="preserve">Deliverable: Gap Analysis and Deployment Blueprint.</w:t>
      </w:r>
    </w:p>
    <w:p w:rsidR="00000000" w:rsidDel="00000000" w:rsidP="00000000" w:rsidRDefault="00000000" w:rsidRPr="00000000" w14:paraId="000000B6">
      <w:pPr>
        <w:numPr>
          <w:ilvl w:val="0"/>
          <w:numId w:val="2"/>
        </w:numPr>
        <w:spacing w:after="0" w:before="200" w:lineRule="auto"/>
        <w:ind w:left="720" w:hanging="360"/>
        <w:rPr>
          <w:b w:val="1"/>
        </w:rPr>
      </w:pPr>
      <w:r w:rsidDel="00000000" w:rsidR="00000000" w:rsidRPr="00000000">
        <w:rPr>
          <w:b w:val="1"/>
          <w:rtl w:val="0"/>
        </w:rPr>
        <w:t xml:space="preserve">Phase 2: Pilot Installation  </w:t>
      </w:r>
    </w:p>
    <w:p w:rsidR="00000000" w:rsidDel="00000000" w:rsidP="00000000" w:rsidRDefault="00000000" w:rsidRPr="00000000" w14:paraId="000000B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Deploy solutions in a controlled environment (limited subnets or device categories) to validate performance and integration.  </w:t>
      </w:r>
    </w:p>
    <w:p w:rsidR="00000000" w:rsidDel="00000000" w:rsidP="00000000" w:rsidRDefault="00000000" w:rsidRPr="00000000" w14:paraId="000000B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 Pilot Results, Lessons Learned.</w:t>
      </w:r>
    </w:p>
    <w:p w:rsidR="00000000" w:rsidDel="00000000" w:rsidP="00000000" w:rsidRDefault="00000000" w:rsidRPr="00000000" w14:paraId="000000B9">
      <w:pPr>
        <w:numPr>
          <w:ilvl w:val="0"/>
          <w:numId w:val="2"/>
        </w:numPr>
        <w:spacing w:after="0" w:before="200" w:lineRule="auto"/>
        <w:ind w:left="720" w:hanging="360"/>
        <w:rPr>
          <w:b w:val="1"/>
        </w:rPr>
      </w:pPr>
      <w:r w:rsidDel="00000000" w:rsidR="00000000" w:rsidRPr="00000000">
        <w:rPr>
          <w:b w:val="1"/>
          <w:rtl w:val="0"/>
        </w:rPr>
        <w:t xml:space="preserve">Phase 3: Full-Scale Implementation  </w:t>
      </w:r>
    </w:p>
    <w:p w:rsidR="00000000" w:rsidDel="00000000" w:rsidP="00000000" w:rsidRDefault="00000000" w:rsidRPr="00000000" w14:paraId="000000B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Expand coverage to all relevant sites, networks, and device categories, ensuring minimal disruption to business.  </w:t>
      </w:r>
    </w:p>
    <w:p w:rsidR="00000000" w:rsidDel="00000000" w:rsidP="00000000" w:rsidRDefault="00000000" w:rsidRPr="00000000" w14:paraId="000000B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 Completed Rollout, Acceptance Testing.</w:t>
      </w:r>
    </w:p>
    <w:p w:rsidR="00000000" w:rsidDel="00000000" w:rsidP="00000000" w:rsidRDefault="00000000" w:rsidRPr="00000000" w14:paraId="000000BC">
      <w:pPr>
        <w:numPr>
          <w:ilvl w:val="0"/>
          <w:numId w:val="2"/>
        </w:numPr>
        <w:spacing w:after="0" w:before="200" w:lineRule="auto"/>
        <w:ind w:left="720" w:hanging="360"/>
        <w:rPr>
          <w:b w:val="1"/>
        </w:rPr>
      </w:pPr>
      <w:r w:rsidDel="00000000" w:rsidR="00000000" w:rsidRPr="00000000">
        <w:rPr>
          <w:b w:val="1"/>
          <w:rtl w:val="0"/>
        </w:rPr>
        <w:t xml:space="preserve">Phase 4: Continuous Monitoring and Optimization  </w:t>
      </w:r>
    </w:p>
    <w:p w:rsidR="00000000" w:rsidDel="00000000" w:rsidP="00000000" w:rsidRDefault="00000000" w:rsidRPr="00000000" w14:paraId="000000B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Fine-tune detection rules, incident response playbooks, and dashboards.  </w:t>
      </w:r>
    </w:p>
    <w:p w:rsidR="00000000" w:rsidDel="00000000" w:rsidP="00000000" w:rsidRDefault="00000000" w:rsidRPr="00000000" w14:paraId="000000B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 Ongoing Security and Compliance Reports.</w:t>
      </w:r>
    </w:p>
    <w:p w:rsidR="00000000" w:rsidDel="00000000" w:rsidP="00000000" w:rsidRDefault="00000000" w:rsidRPr="00000000" w14:paraId="000000BF">
      <w:pPr>
        <w:pStyle w:val="Heading3"/>
        <w:rPr>
          <w:b w:val="1"/>
          <w:color w:val="000000"/>
          <w:sz w:val="26"/>
          <w:szCs w:val="26"/>
        </w:rPr>
      </w:pPr>
      <w:bookmarkStart w:colFirst="0" w:colLast="0" w:name="_aps56dcgedcv" w:id="21"/>
      <w:bookmarkEnd w:id="21"/>
      <w:r w:rsidDel="00000000" w:rsidR="00000000" w:rsidRPr="00000000">
        <w:rPr>
          <w:b w:val="1"/>
          <w:color w:val="000000"/>
          <w:sz w:val="26"/>
          <w:szCs w:val="26"/>
          <w:rtl w:val="0"/>
        </w:rPr>
        <w:t xml:space="preserve">4.3 Change Management and Training Strategy</w:t>
      </w:r>
    </w:p>
    <w:p w:rsidR="00000000" w:rsidDel="00000000" w:rsidP="00000000" w:rsidRDefault="00000000" w:rsidRPr="00000000" w14:paraId="000000C0">
      <w:pPr>
        <w:numPr>
          <w:ilvl w:val="0"/>
          <w:numId w:val="27"/>
        </w:numPr>
        <w:spacing w:before="200" w:lineRule="auto"/>
        <w:ind w:left="720" w:hanging="360"/>
        <w:rPr>
          <w:u w:val="none"/>
        </w:rPr>
      </w:pPr>
      <w:r w:rsidDel="00000000" w:rsidR="00000000" w:rsidRPr="00000000">
        <w:rPr>
          <w:b w:val="1"/>
          <w:rtl w:val="0"/>
        </w:rPr>
        <w:t xml:space="preserve">Technical Staff Training: </w:t>
      </w:r>
      <w:r w:rsidDel="00000000" w:rsidR="00000000" w:rsidRPr="00000000">
        <w:rPr>
          <w:rtl w:val="0"/>
        </w:rPr>
        <w:t xml:space="preserve">Provide thorough technical workshops for administrators covering device classification, rule configuration, and patch orchestration.  </w:t>
      </w:r>
    </w:p>
    <w:p w:rsidR="00000000" w:rsidDel="00000000" w:rsidP="00000000" w:rsidRDefault="00000000" w:rsidRPr="00000000" w14:paraId="000000C1">
      <w:pPr>
        <w:numPr>
          <w:ilvl w:val="0"/>
          <w:numId w:val="27"/>
        </w:numPr>
        <w:ind w:left="720" w:hanging="360"/>
        <w:rPr>
          <w:u w:val="none"/>
        </w:rPr>
      </w:pPr>
      <w:r w:rsidDel="00000000" w:rsidR="00000000" w:rsidRPr="00000000">
        <w:rPr>
          <w:b w:val="1"/>
          <w:rtl w:val="0"/>
        </w:rPr>
        <w:t xml:space="preserve">User Awareness: </w:t>
      </w:r>
      <w:r w:rsidDel="00000000" w:rsidR="00000000" w:rsidRPr="00000000">
        <w:rPr>
          <w:rtl w:val="0"/>
        </w:rPr>
        <w:t xml:space="preserve">Develop basic cybersecurity training for employees interacting with connected devices.  </w:t>
      </w:r>
    </w:p>
    <w:p w:rsidR="00000000" w:rsidDel="00000000" w:rsidP="00000000" w:rsidRDefault="00000000" w:rsidRPr="00000000" w14:paraId="000000C2">
      <w:pPr>
        <w:numPr>
          <w:ilvl w:val="0"/>
          <w:numId w:val="27"/>
        </w:numPr>
        <w:ind w:left="720" w:hanging="360"/>
        <w:rPr>
          <w:u w:val="none"/>
        </w:rPr>
      </w:pPr>
      <w:r w:rsidDel="00000000" w:rsidR="00000000" w:rsidRPr="00000000">
        <w:rPr>
          <w:b w:val="1"/>
          <w:rtl w:val="0"/>
        </w:rPr>
        <w:t xml:space="preserve">Documentation:</w:t>
      </w:r>
      <w:r w:rsidDel="00000000" w:rsidR="00000000" w:rsidRPr="00000000">
        <w:rPr>
          <w:rtl w:val="0"/>
        </w:rPr>
        <w:t xml:space="preserve"> Vendor-supplied runbooks, best practice guides, and knowledge base articles ensuring a smooth handover post-implementation.</w:t>
      </w:r>
    </w:p>
    <w:p w:rsidR="00000000" w:rsidDel="00000000" w:rsidP="00000000" w:rsidRDefault="00000000" w:rsidRPr="00000000" w14:paraId="000000C3">
      <w:pPr>
        <w:pStyle w:val="Heading3"/>
        <w:rPr>
          <w:b w:val="1"/>
          <w:color w:val="000000"/>
          <w:sz w:val="26"/>
          <w:szCs w:val="26"/>
        </w:rPr>
      </w:pPr>
      <w:bookmarkStart w:colFirst="0" w:colLast="0" w:name="_i8d5roe6cmcd" w:id="22"/>
      <w:bookmarkEnd w:id="22"/>
      <w:r w:rsidDel="00000000" w:rsidR="00000000" w:rsidRPr="00000000">
        <w:rPr>
          <w:b w:val="1"/>
          <w:color w:val="000000"/>
          <w:sz w:val="26"/>
          <w:szCs w:val="26"/>
          <w:rtl w:val="0"/>
        </w:rPr>
        <w:t xml:space="preserve">4.4 Risk Management, Escalations, and Contingency Plans</w:t>
      </w:r>
    </w:p>
    <w:p w:rsidR="00000000" w:rsidDel="00000000" w:rsidP="00000000" w:rsidRDefault="00000000" w:rsidRPr="00000000" w14:paraId="000000C4">
      <w:pPr>
        <w:numPr>
          <w:ilvl w:val="0"/>
          <w:numId w:val="36"/>
        </w:numPr>
        <w:spacing w:before="200" w:lineRule="auto"/>
        <w:ind w:left="720" w:hanging="360"/>
        <w:rPr>
          <w:u w:val="none"/>
        </w:rPr>
      </w:pPr>
      <w:r w:rsidDel="00000000" w:rsidR="00000000" w:rsidRPr="00000000">
        <w:rPr>
          <w:b w:val="1"/>
          <w:rtl w:val="0"/>
        </w:rPr>
        <w:t xml:space="preserve">Identified Risks: </w:t>
      </w:r>
      <w:r w:rsidDel="00000000" w:rsidR="00000000" w:rsidRPr="00000000">
        <w:rPr>
          <w:rtl w:val="0"/>
        </w:rPr>
        <w:t xml:space="preserve">Potential obstacles (network segmentation complexities, legacy device constraints, internal resource limitations).  </w:t>
      </w:r>
    </w:p>
    <w:p w:rsidR="00000000" w:rsidDel="00000000" w:rsidP="00000000" w:rsidRDefault="00000000" w:rsidRPr="00000000" w14:paraId="000000C5">
      <w:pPr>
        <w:numPr>
          <w:ilvl w:val="0"/>
          <w:numId w:val="36"/>
        </w:numPr>
        <w:ind w:left="720" w:hanging="360"/>
        <w:rPr>
          <w:u w:val="none"/>
        </w:rPr>
      </w:pPr>
      <w:r w:rsidDel="00000000" w:rsidR="00000000" w:rsidRPr="00000000">
        <w:rPr>
          <w:b w:val="1"/>
          <w:rtl w:val="0"/>
        </w:rPr>
        <w:t xml:space="preserve">Mitigation Strategies:</w:t>
      </w:r>
      <w:r w:rsidDel="00000000" w:rsidR="00000000" w:rsidRPr="00000000">
        <w:rPr>
          <w:rtl w:val="0"/>
        </w:rPr>
        <w:t xml:space="preserve"> Proposed methods to handle unexpected network conflicts, device overload, or integration shortfalls.  </w:t>
      </w:r>
    </w:p>
    <w:p w:rsidR="00000000" w:rsidDel="00000000" w:rsidP="00000000" w:rsidRDefault="00000000" w:rsidRPr="00000000" w14:paraId="000000C6">
      <w:pPr>
        <w:numPr>
          <w:ilvl w:val="0"/>
          <w:numId w:val="36"/>
        </w:numPr>
        <w:ind w:left="720" w:hanging="360"/>
        <w:rPr>
          <w:u w:val="none"/>
        </w:rPr>
      </w:pPr>
      <w:r w:rsidDel="00000000" w:rsidR="00000000" w:rsidRPr="00000000">
        <w:rPr>
          <w:b w:val="1"/>
          <w:rtl w:val="0"/>
        </w:rPr>
        <w:t xml:space="preserve">Contingency Plans:</w:t>
      </w:r>
      <w:r w:rsidDel="00000000" w:rsidR="00000000" w:rsidRPr="00000000">
        <w:rPr>
          <w:rtl w:val="0"/>
        </w:rPr>
        <w:t xml:space="preserve"> Backup approaches or fallback tools if critical deployment milestones fail or if immediate patching is required for newly discovered zero-day vulnerabilities.</w:t>
      </w:r>
    </w:p>
    <w:p w:rsidR="00000000" w:rsidDel="00000000" w:rsidP="00000000" w:rsidRDefault="00000000" w:rsidRPr="00000000" w14:paraId="000000C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2"/>
        <w:rPr>
          <w:b w:val="1"/>
          <w:sz w:val="34"/>
          <w:szCs w:val="34"/>
        </w:rPr>
      </w:pPr>
      <w:bookmarkStart w:colFirst="0" w:colLast="0" w:name="_wd4y6oor3a75"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9">
      <w:pPr>
        <w:pStyle w:val="Heading3"/>
        <w:rPr>
          <w:b w:val="1"/>
          <w:color w:val="000000"/>
          <w:sz w:val="26"/>
          <w:szCs w:val="26"/>
        </w:rPr>
      </w:pPr>
      <w:bookmarkStart w:colFirst="0" w:colLast="0" w:name="_fns6eu6si6iv"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A">
      <w:pPr>
        <w:numPr>
          <w:ilvl w:val="0"/>
          <w:numId w:val="29"/>
        </w:numPr>
        <w:spacing w:before="200" w:lineRule="auto"/>
        <w:ind w:left="720" w:hanging="360"/>
        <w:rPr>
          <w:u w:val="none"/>
        </w:rPr>
      </w:pPr>
      <w:r w:rsidDel="00000000" w:rsidR="00000000" w:rsidRPr="00000000">
        <w:rPr>
          <w:b w:val="1"/>
          <w:rtl w:val="0"/>
        </w:rPr>
        <w:t xml:space="preserve">Corporate History: </w:t>
      </w:r>
      <w:r w:rsidDel="00000000" w:rsidR="00000000" w:rsidRPr="00000000">
        <w:rPr>
          <w:rtl w:val="0"/>
        </w:rPr>
        <w:t xml:space="preserve">Founding year, global footprint, and strategic focus on device security and EU regulations.  </w:t>
      </w:r>
    </w:p>
    <w:p w:rsidR="00000000" w:rsidDel="00000000" w:rsidP="00000000" w:rsidRDefault="00000000" w:rsidRPr="00000000" w14:paraId="000000CB">
      <w:pPr>
        <w:numPr>
          <w:ilvl w:val="0"/>
          <w:numId w:val="29"/>
        </w:numPr>
        <w:ind w:left="720" w:hanging="360"/>
        <w:rPr>
          <w:u w:val="none"/>
        </w:rPr>
      </w:pPr>
      <w:r w:rsidDel="00000000" w:rsidR="00000000" w:rsidRPr="00000000">
        <w:rPr>
          <w:b w:val="1"/>
          <w:rtl w:val="0"/>
        </w:rPr>
        <w:t xml:space="preserve">Financial Health:</w:t>
      </w:r>
      <w:r w:rsidDel="00000000" w:rsidR="00000000" w:rsidRPr="00000000">
        <w:rPr>
          <w:rtl w:val="0"/>
        </w:rPr>
        <w:t xml:space="preserve"> Evidence of profitability or strong capitalization, ensuring the vendor can sustain R&amp;D and support.  </w:t>
      </w:r>
    </w:p>
    <w:p w:rsidR="00000000" w:rsidDel="00000000" w:rsidP="00000000" w:rsidRDefault="00000000" w:rsidRPr="00000000" w14:paraId="000000CC">
      <w:pPr>
        <w:numPr>
          <w:ilvl w:val="0"/>
          <w:numId w:val="29"/>
        </w:numPr>
        <w:ind w:left="720" w:hanging="360"/>
        <w:rPr>
          <w:u w:val="none"/>
        </w:rPr>
      </w:pPr>
      <w:r w:rsidDel="00000000" w:rsidR="00000000" w:rsidRPr="00000000">
        <w:rPr>
          <w:b w:val="1"/>
          <w:rtl w:val="0"/>
        </w:rPr>
        <w:t xml:space="preserve">Partnerships:</w:t>
      </w:r>
      <w:r w:rsidDel="00000000" w:rsidR="00000000" w:rsidRPr="00000000">
        <w:rPr>
          <w:rtl w:val="0"/>
        </w:rPr>
        <w:t xml:space="preserve"> Alliances with major technology platforms, such as leading cloud providers or ICS vendors.</w:t>
      </w:r>
    </w:p>
    <w:p w:rsidR="00000000" w:rsidDel="00000000" w:rsidP="00000000" w:rsidRDefault="00000000" w:rsidRPr="00000000" w14:paraId="000000CD">
      <w:pPr>
        <w:pStyle w:val="Heading3"/>
        <w:rPr>
          <w:b w:val="1"/>
          <w:color w:val="000000"/>
          <w:sz w:val="26"/>
          <w:szCs w:val="26"/>
        </w:rPr>
      </w:pPr>
      <w:bookmarkStart w:colFirst="0" w:colLast="0" w:name="_w2tvesfash0a" w:id="25"/>
      <w:bookmarkEnd w:id="25"/>
      <w:r w:rsidDel="00000000" w:rsidR="00000000" w:rsidRPr="00000000">
        <w:rPr>
          <w:b w:val="1"/>
          <w:color w:val="000000"/>
          <w:sz w:val="26"/>
          <w:szCs w:val="26"/>
          <w:rtl w:val="0"/>
        </w:rPr>
        <w:t xml:space="preserve">5.2 EU CRA Regulatory Expertise and Track Record</w:t>
      </w:r>
    </w:p>
    <w:p w:rsidR="00000000" w:rsidDel="00000000" w:rsidP="00000000" w:rsidRDefault="00000000" w:rsidRPr="00000000" w14:paraId="000000CE">
      <w:pPr>
        <w:numPr>
          <w:ilvl w:val="0"/>
          <w:numId w:val="26"/>
        </w:numPr>
        <w:spacing w:before="200" w:lineRule="auto"/>
        <w:ind w:left="720" w:hanging="360"/>
        <w:rPr>
          <w:u w:val="none"/>
        </w:rPr>
      </w:pPr>
      <w:r w:rsidDel="00000000" w:rsidR="00000000" w:rsidRPr="00000000">
        <w:rPr>
          <w:b w:val="1"/>
          <w:rtl w:val="0"/>
        </w:rPr>
        <w:t xml:space="preserve">CRA-Specific Knowledge: </w:t>
      </w:r>
      <w:r w:rsidDel="00000000" w:rsidR="00000000" w:rsidRPr="00000000">
        <w:rPr>
          <w:rtl w:val="0"/>
        </w:rPr>
        <w:t xml:space="preserve">Demonstrable awareness of the Cyber Resilience Act’s scope, timelines, and enforcement mechanisms.  </w:t>
      </w:r>
    </w:p>
    <w:p w:rsidR="00000000" w:rsidDel="00000000" w:rsidP="00000000" w:rsidRDefault="00000000" w:rsidRPr="00000000" w14:paraId="000000CF">
      <w:pPr>
        <w:numPr>
          <w:ilvl w:val="0"/>
          <w:numId w:val="26"/>
        </w:numPr>
        <w:ind w:left="720" w:hanging="360"/>
        <w:rPr>
          <w:u w:val="none"/>
        </w:rPr>
      </w:pPr>
      <w:r w:rsidDel="00000000" w:rsidR="00000000" w:rsidRPr="00000000">
        <w:rPr>
          <w:b w:val="1"/>
          <w:rtl w:val="0"/>
        </w:rPr>
        <w:t xml:space="preserve">Previous Success: </w:t>
      </w:r>
      <w:r w:rsidDel="00000000" w:rsidR="00000000" w:rsidRPr="00000000">
        <w:rPr>
          <w:rtl w:val="0"/>
        </w:rPr>
        <w:t xml:space="preserve">References or case studies from organizations that overcame similar compliance challenges, particularly those with IoT/OT convergence.  </w:t>
      </w:r>
    </w:p>
    <w:p w:rsidR="00000000" w:rsidDel="00000000" w:rsidP="00000000" w:rsidRDefault="00000000" w:rsidRPr="00000000" w14:paraId="000000D0">
      <w:pPr>
        <w:numPr>
          <w:ilvl w:val="0"/>
          <w:numId w:val="26"/>
        </w:numPr>
        <w:ind w:left="720" w:hanging="360"/>
        <w:rPr>
          <w:u w:val="none"/>
        </w:rPr>
      </w:pPr>
      <w:r w:rsidDel="00000000" w:rsidR="00000000" w:rsidRPr="00000000">
        <w:rPr>
          <w:b w:val="1"/>
          <w:rtl w:val="0"/>
        </w:rPr>
        <w:t xml:space="preserve">Relevant Certifications:</w:t>
      </w:r>
      <w:r w:rsidDel="00000000" w:rsidR="00000000" w:rsidRPr="00000000">
        <w:rPr>
          <w:rtl w:val="0"/>
        </w:rPr>
        <w:t xml:space="preserve"> ISO 27001, ENISA best practices, or other EU cybersecurity certifications reinforcing vendor credibility.</w:t>
      </w:r>
    </w:p>
    <w:p w:rsidR="00000000" w:rsidDel="00000000" w:rsidP="00000000" w:rsidRDefault="00000000" w:rsidRPr="00000000" w14:paraId="000000D1">
      <w:pPr>
        <w:pStyle w:val="Heading3"/>
        <w:rPr>
          <w:b w:val="1"/>
          <w:color w:val="000000"/>
          <w:sz w:val="26"/>
          <w:szCs w:val="26"/>
        </w:rPr>
      </w:pPr>
      <w:bookmarkStart w:colFirst="0" w:colLast="0" w:name="_dbi70qdoo631" w:id="26"/>
      <w:bookmarkEnd w:id="26"/>
      <w:r w:rsidDel="00000000" w:rsidR="00000000" w:rsidRPr="00000000">
        <w:rPr>
          <w:b w:val="1"/>
          <w:color w:val="000000"/>
          <w:sz w:val="26"/>
          <w:szCs w:val="26"/>
          <w:rtl w:val="0"/>
        </w:rPr>
        <w:t xml:space="preserve">5.3 Relevant Industry Experience (Healthcare, Manufacturing, Critical Infrastructure, etc.)</w:t>
      </w:r>
    </w:p>
    <w:p w:rsidR="00000000" w:rsidDel="00000000" w:rsidP="00000000" w:rsidRDefault="00000000" w:rsidRPr="00000000" w14:paraId="000000D2">
      <w:pPr>
        <w:numPr>
          <w:ilvl w:val="0"/>
          <w:numId w:val="22"/>
        </w:numPr>
        <w:spacing w:before="200" w:lineRule="auto"/>
        <w:ind w:left="720" w:hanging="360"/>
        <w:rPr>
          <w:u w:val="none"/>
        </w:rPr>
      </w:pPr>
      <w:r w:rsidDel="00000000" w:rsidR="00000000" w:rsidRPr="00000000">
        <w:rPr>
          <w:b w:val="1"/>
          <w:rtl w:val="0"/>
        </w:rPr>
        <w:t xml:space="preserve">Healthcare/Medical Devices:</w:t>
      </w:r>
      <w:r w:rsidDel="00000000" w:rsidR="00000000" w:rsidRPr="00000000">
        <w:rPr>
          <w:rtl w:val="0"/>
        </w:rPr>
        <w:t xml:space="preserve"> If relevant, highlight experience with critical healthcare systems needing continuous availability.  </w:t>
      </w:r>
    </w:p>
    <w:p w:rsidR="00000000" w:rsidDel="00000000" w:rsidP="00000000" w:rsidRDefault="00000000" w:rsidRPr="00000000" w14:paraId="000000D3">
      <w:pPr>
        <w:numPr>
          <w:ilvl w:val="0"/>
          <w:numId w:val="22"/>
        </w:numPr>
        <w:ind w:left="720" w:hanging="360"/>
        <w:rPr>
          <w:u w:val="none"/>
        </w:rPr>
      </w:pPr>
      <w:r w:rsidDel="00000000" w:rsidR="00000000" w:rsidRPr="00000000">
        <w:rPr>
          <w:b w:val="1"/>
          <w:rtl w:val="0"/>
        </w:rPr>
        <w:t xml:space="preserve">Manufacturing and ICS:</w:t>
      </w:r>
      <w:r w:rsidDel="00000000" w:rsidR="00000000" w:rsidRPr="00000000">
        <w:rPr>
          <w:rtl w:val="0"/>
        </w:rPr>
        <w:t xml:space="preserve"> Mention proven success in preventing downtime or safety incidents in industrial control environments.  </w:t>
      </w:r>
    </w:p>
    <w:p w:rsidR="00000000" w:rsidDel="00000000" w:rsidP="00000000" w:rsidRDefault="00000000" w:rsidRPr="00000000" w14:paraId="000000D4">
      <w:pPr>
        <w:numPr>
          <w:ilvl w:val="0"/>
          <w:numId w:val="22"/>
        </w:numPr>
        <w:ind w:left="720" w:hanging="360"/>
        <w:rPr>
          <w:u w:val="none"/>
        </w:rPr>
      </w:pPr>
      <w:r w:rsidDel="00000000" w:rsidR="00000000" w:rsidRPr="00000000">
        <w:rPr>
          <w:b w:val="1"/>
          <w:rtl w:val="0"/>
        </w:rPr>
        <w:t xml:space="preserve">Critical Infrastructure: </w:t>
      </w:r>
      <w:r w:rsidDel="00000000" w:rsidR="00000000" w:rsidRPr="00000000">
        <w:rPr>
          <w:rtl w:val="0"/>
        </w:rPr>
        <w:t xml:space="preserve">Show track record with government agencies or essential service providers subject to strict EU directives.</w:t>
      </w:r>
    </w:p>
    <w:p w:rsidR="00000000" w:rsidDel="00000000" w:rsidP="00000000" w:rsidRDefault="00000000" w:rsidRPr="00000000" w14:paraId="000000D5">
      <w:pPr>
        <w:pStyle w:val="Heading3"/>
        <w:rPr>
          <w:b w:val="1"/>
          <w:color w:val="000000"/>
          <w:sz w:val="26"/>
          <w:szCs w:val="26"/>
        </w:rPr>
      </w:pPr>
      <w:bookmarkStart w:colFirst="0" w:colLast="0" w:name="_3770a7mhafp8" w:id="27"/>
      <w:bookmarkEnd w:id="27"/>
      <w:r w:rsidDel="00000000" w:rsidR="00000000" w:rsidRPr="00000000">
        <w:rPr>
          <w:b w:val="1"/>
          <w:color w:val="000000"/>
          <w:sz w:val="26"/>
          <w:szCs w:val="26"/>
          <w:rtl w:val="0"/>
        </w:rPr>
        <w:t xml:space="preserve">5.4 Certifications, Partnerships, and Case Studies</w:t>
      </w:r>
    </w:p>
    <w:p w:rsidR="00000000" w:rsidDel="00000000" w:rsidP="00000000" w:rsidRDefault="00000000" w:rsidRPr="00000000" w14:paraId="000000D6">
      <w:pPr>
        <w:numPr>
          <w:ilvl w:val="0"/>
          <w:numId w:val="3"/>
        </w:numPr>
        <w:spacing w:before="200" w:lineRule="auto"/>
        <w:ind w:left="720" w:hanging="360"/>
        <w:rPr>
          <w:u w:val="none"/>
        </w:rPr>
      </w:pPr>
      <w:r w:rsidDel="00000000" w:rsidR="00000000" w:rsidRPr="00000000">
        <w:rPr>
          <w:b w:val="1"/>
          <w:rtl w:val="0"/>
        </w:rPr>
        <w:t xml:space="preserve">Technical Endorsements:</w:t>
      </w:r>
      <w:r w:rsidDel="00000000" w:rsidR="00000000" w:rsidRPr="00000000">
        <w:rPr>
          <w:rtl w:val="0"/>
        </w:rPr>
        <w:t xml:space="preserve"> Recognitions from industry analysts, interoperability validations with leading security stacks.  </w:t>
      </w:r>
    </w:p>
    <w:p w:rsidR="00000000" w:rsidDel="00000000" w:rsidP="00000000" w:rsidRDefault="00000000" w:rsidRPr="00000000" w14:paraId="000000D7">
      <w:pPr>
        <w:numPr>
          <w:ilvl w:val="0"/>
          <w:numId w:val="3"/>
        </w:numPr>
        <w:ind w:left="720" w:hanging="360"/>
        <w:rPr>
          <w:u w:val="none"/>
        </w:rPr>
      </w:pPr>
      <w:r w:rsidDel="00000000" w:rsidR="00000000" w:rsidRPr="00000000">
        <w:rPr>
          <w:b w:val="1"/>
          <w:rtl w:val="0"/>
        </w:rPr>
        <w:t xml:space="preserve">Partnership Ecosystem: </w:t>
      </w:r>
      <w:r w:rsidDel="00000000" w:rsidR="00000000" w:rsidRPr="00000000">
        <w:rPr>
          <w:rtl w:val="0"/>
        </w:rPr>
        <w:t xml:space="preserve">I</w:t>
      </w:r>
      <w:r w:rsidDel="00000000" w:rsidR="00000000" w:rsidRPr="00000000">
        <w:rPr>
          <w:rtl w:val="0"/>
        </w:rPr>
        <w:t xml:space="preserve">ntegrations or co-marketing initiatives with SIEM, SOAR, NAC, or other cybersecurity platforms.  </w:t>
      </w:r>
    </w:p>
    <w:p w:rsidR="00000000" w:rsidDel="00000000" w:rsidP="00000000" w:rsidRDefault="00000000" w:rsidRPr="00000000" w14:paraId="000000D8">
      <w:pPr>
        <w:numPr>
          <w:ilvl w:val="0"/>
          <w:numId w:val="3"/>
        </w:numPr>
        <w:ind w:left="720" w:hanging="360"/>
        <w:rPr>
          <w:u w:val="none"/>
        </w:rPr>
      </w:pPr>
      <w:r w:rsidDel="00000000" w:rsidR="00000000" w:rsidRPr="00000000">
        <w:rPr>
          <w:b w:val="1"/>
          <w:rtl w:val="0"/>
        </w:rPr>
        <w:t xml:space="preserve">Documented Case Studies:</w:t>
      </w:r>
      <w:r w:rsidDel="00000000" w:rsidR="00000000" w:rsidRPr="00000000">
        <w:rPr>
          <w:rtl w:val="0"/>
        </w:rPr>
        <w:t xml:space="preserve"> Detailed problem-solution-outcome narratives for at least two complex client engagements.</w:t>
      </w:r>
    </w:p>
    <w:p w:rsidR="00000000" w:rsidDel="00000000" w:rsidP="00000000" w:rsidRDefault="00000000" w:rsidRPr="00000000" w14:paraId="000000D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pStyle w:val="Heading2"/>
        <w:rPr/>
      </w:pPr>
      <w:bookmarkStart w:colFirst="0" w:colLast="0" w:name="_903aigpmvehb" w:id="28"/>
      <w:bookmarkEnd w:id="28"/>
      <w:r w:rsidDel="00000000" w:rsidR="00000000" w:rsidRPr="00000000">
        <w:rPr>
          <w:b w:val="1"/>
          <w:sz w:val="34"/>
          <w:szCs w:val="34"/>
          <w:rtl w:val="0"/>
        </w:rPr>
        <w:t xml:space="preserve">6. Pricing and Commercial Terms</w:t>
      </w:r>
      <w:r w:rsidDel="00000000" w:rsidR="00000000" w:rsidRPr="00000000">
        <w:rPr>
          <w:rtl w:val="0"/>
        </w:rPr>
      </w:r>
    </w:p>
    <w:p w:rsidR="00000000" w:rsidDel="00000000" w:rsidP="00000000" w:rsidRDefault="00000000" w:rsidRPr="00000000" w14:paraId="000000DB">
      <w:pPr>
        <w:pStyle w:val="Heading3"/>
        <w:rPr>
          <w:b w:val="1"/>
          <w:color w:val="000000"/>
          <w:sz w:val="26"/>
          <w:szCs w:val="26"/>
        </w:rPr>
      </w:pPr>
      <w:bookmarkStart w:colFirst="0" w:colLast="0" w:name="_3k0g9bcj0y0y" w:id="29"/>
      <w:bookmarkEnd w:id="29"/>
      <w:r w:rsidDel="00000000" w:rsidR="00000000" w:rsidRPr="00000000">
        <w:rPr>
          <w:b w:val="1"/>
          <w:color w:val="000000"/>
          <w:sz w:val="26"/>
          <w:szCs w:val="26"/>
          <w:rtl w:val="0"/>
        </w:rPr>
        <w:t xml:space="preserve">6.1 Cost Model (Subscription, Device-Based, Enterprise Licensing)</w:t>
      </w:r>
    </w:p>
    <w:p w:rsidR="00000000" w:rsidDel="00000000" w:rsidP="00000000" w:rsidRDefault="00000000" w:rsidRPr="00000000" w14:paraId="000000DC">
      <w:pPr>
        <w:numPr>
          <w:ilvl w:val="0"/>
          <w:numId w:val="15"/>
        </w:numPr>
        <w:spacing w:before="200" w:lineRule="auto"/>
        <w:ind w:left="720" w:hanging="360"/>
        <w:rPr>
          <w:u w:val="none"/>
        </w:rPr>
      </w:pPr>
      <w:r w:rsidDel="00000000" w:rsidR="00000000" w:rsidRPr="00000000">
        <w:rPr>
          <w:b w:val="1"/>
          <w:rtl w:val="0"/>
        </w:rPr>
        <w:t xml:space="preserve">License Metrics: </w:t>
      </w:r>
      <w:r w:rsidDel="00000000" w:rsidR="00000000" w:rsidRPr="00000000">
        <w:rPr>
          <w:rtl w:val="0"/>
        </w:rPr>
        <w:t xml:space="preserve">Clarify if pricing is based on the number of devices, concurrent users, or enterprise-wide usage.  </w:t>
      </w:r>
    </w:p>
    <w:p w:rsidR="00000000" w:rsidDel="00000000" w:rsidP="00000000" w:rsidRDefault="00000000" w:rsidRPr="00000000" w14:paraId="000000DD">
      <w:pPr>
        <w:numPr>
          <w:ilvl w:val="0"/>
          <w:numId w:val="15"/>
        </w:numPr>
        <w:ind w:left="720" w:hanging="360"/>
        <w:rPr>
          <w:u w:val="none"/>
        </w:rPr>
      </w:pPr>
      <w:r w:rsidDel="00000000" w:rsidR="00000000" w:rsidRPr="00000000">
        <w:rPr>
          <w:b w:val="1"/>
          <w:rtl w:val="0"/>
        </w:rPr>
        <w:t xml:space="preserve">Scaling and Volume Discounts:</w:t>
      </w:r>
      <w:r w:rsidDel="00000000" w:rsidR="00000000" w:rsidRPr="00000000">
        <w:rPr>
          <w:rtl w:val="0"/>
        </w:rPr>
        <w:t xml:space="preserve"> Outline discounts triggered by additional device counts or multi-year contracts.  </w:t>
      </w:r>
    </w:p>
    <w:p w:rsidR="00000000" w:rsidDel="00000000" w:rsidP="00000000" w:rsidRDefault="00000000" w:rsidRPr="00000000" w14:paraId="000000DE">
      <w:pPr>
        <w:numPr>
          <w:ilvl w:val="0"/>
          <w:numId w:val="15"/>
        </w:numPr>
        <w:ind w:left="720" w:hanging="360"/>
        <w:rPr>
          <w:u w:val="none"/>
        </w:rPr>
      </w:pPr>
      <w:r w:rsidDel="00000000" w:rsidR="00000000" w:rsidRPr="00000000">
        <w:rPr>
          <w:b w:val="1"/>
          <w:rtl w:val="0"/>
        </w:rPr>
        <w:t xml:space="preserve">Add-On Modules:</w:t>
      </w:r>
      <w:r w:rsidDel="00000000" w:rsidR="00000000" w:rsidRPr="00000000">
        <w:rPr>
          <w:rtl w:val="0"/>
        </w:rPr>
        <w:t xml:space="preserve"> Provide line-item pricing for advanced features (e.g., threat intelligence feeds, advanced analytics) if not part of the core offering.</w:t>
      </w:r>
    </w:p>
    <w:p w:rsidR="00000000" w:rsidDel="00000000" w:rsidP="00000000" w:rsidRDefault="00000000" w:rsidRPr="00000000" w14:paraId="000000DF">
      <w:pPr>
        <w:pStyle w:val="Heading3"/>
        <w:rPr>
          <w:b w:val="1"/>
          <w:color w:val="000000"/>
          <w:sz w:val="26"/>
          <w:szCs w:val="26"/>
        </w:rPr>
      </w:pPr>
      <w:bookmarkStart w:colFirst="0" w:colLast="0" w:name="_159j1kdri102" w:id="30"/>
      <w:bookmarkEnd w:id="30"/>
      <w:r w:rsidDel="00000000" w:rsidR="00000000" w:rsidRPr="00000000">
        <w:rPr>
          <w:b w:val="1"/>
          <w:color w:val="000000"/>
          <w:sz w:val="26"/>
          <w:szCs w:val="26"/>
          <w:rtl w:val="0"/>
        </w:rPr>
        <w:t xml:space="preserve">6.2 Maintenance, Support, and Service-Level Agreements (SLAs)</w:t>
      </w:r>
    </w:p>
    <w:p w:rsidR="00000000" w:rsidDel="00000000" w:rsidP="00000000" w:rsidRDefault="00000000" w:rsidRPr="00000000" w14:paraId="000000E0">
      <w:pPr>
        <w:numPr>
          <w:ilvl w:val="0"/>
          <w:numId w:val="1"/>
        </w:numPr>
        <w:spacing w:before="200" w:lineRule="auto"/>
        <w:ind w:left="720" w:hanging="360"/>
        <w:rPr>
          <w:u w:val="none"/>
        </w:rPr>
      </w:pPr>
      <w:r w:rsidDel="00000000" w:rsidR="00000000" w:rsidRPr="00000000">
        <w:rPr>
          <w:b w:val="1"/>
          <w:rtl w:val="0"/>
        </w:rPr>
        <w:t xml:space="preserve">Support Tiers:</w:t>
      </w:r>
      <w:r w:rsidDel="00000000" w:rsidR="00000000" w:rsidRPr="00000000">
        <w:rPr>
          <w:rtl w:val="0"/>
        </w:rPr>
        <w:t xml:space="preserve"> 24/7 phone or online support, dedicated success managers, onsite assistance for major incidents.  </w:t>
      </w:r>
    </w:p>
    <w:p w:rsidR="00000000" w:rsidDel="00000000" w:rsidP="00000000" w:rsidRDefault="00000000" w:rsidRPr="00000000" w14:paraId="000000E1">
      <w:pPr>
        <w:numPr>
          <w:ilvl w:val="0"/>
          <w:numId w:val="1"/>
        </w:numPr>
        <w:ind w:left="720" w:hanging="360"/>
        <w:rPr>
          <w:u w:val="none"/>
        </w:rPr>
      </w:pPr>
      <w:r w:rsidDel="00000000" w:rsidR="00000000" w:rsidRPr="00000000">
        <w:rPr>
          <w:b w:val="1"/>
          <w:rtl w:val="0"/>
        </w:rPr>
        <w:t xml:space="preserve">SLA Terms:</w:t>
      </w:r>
      <w:r w:rsidDel="00000000" w:rsidR="00000000" w:rsidRPr="00000000">
        <w:rPr>
          <w:rtl w:val="0"/>
        </w:rPr>
        <w:t xml:space="preserve"> Response and resolution times, especially for critical vulnerabilities discovered in ICS or medical systems.  </w:t>
      </w:r>
    </w:p>
    <w:p w:rsidR="00000000" w:rsidDel="00000000" w:rsidP="00000000" w:rsidRDefault="00000000" w:rsidRPr="00000000" w14:paraId="000000E2">
      <w:pPr>
        <w:numPr>
          <w:ilvl w:val="0"/>
          <w:numId w:val="1"/>
        </w:numPr>
        <w:ind w:left="720" w:hanging="360"/>
        <w:rPr>
          <w:u w:val="none"/>
        </w:rPr>
      </w:pPr>
      <w:r w:rsidDel="00000000" w:rsidR="00000000" w:rsidRPr="00000000">
        <w:rPr>
          <w:b w:val="1"/>
          <w:rtl w:val="0"/>
        </w:rPr>
        <w:t xml:space="preserve">Upgrade and Patch Policies: </w:t>
      </w:r>
      <w:r w:rsidDel="00000000" w:rsidR="00000000" w:rsidRPr="00000000">
        <w:rPr>
          <w:rtl w:val="0"/>
        </w:rPr>
        <w:t xml:space="preserve">Frequency of software updates, approach to introducing new device signatures or threat definitions.</w:t>
      </w:r>
    </w:p>
    <w:p w:rsidR="00000000" w:rsidDel="00000000" w:rsidP="00000000" w:rsidRDefault="00000000" w:rsidRPr="00000000" w14:paraId="000000E3">
      <w:pPr>
        <w:pStyle w:val="Heading3"/>
        <w:rPr>
          <w:b w:val="1"/>
          <w:color w:val="000000"/>
          <w:sz w:val="26"/>
          <w:szCs w:val="26"/>
        </w:rPr>
      </w:pPr>
      <w:bookmarkStart w:colFirst="0" w:colLast="0" w:name="_nd31uo5mdrgk" w:id="31"/>
      <w:bookmarkEnd w:id="31"/>
      <w:r w:rsidDel="00000000" w:rsidR="00000000" w:rsidRPr="00000000">
        <w:rPr>
          <w:b w:val="1"/>
          <w:color w:val="000000"/>
          <w:sz w:val="26"/>
          <w:szCs w:val="26"/>
          <w:rtl w:val="0"/>
        </w:rPr>
        <w:t xml:space="preserve">6.3 Professional Services and Ongoing Consultancy</w:t>
      </w:r>
    </w:p>
    <w:p w:rsidR="00000000" w:rsidDel="00000000" w:rsidP="00000000" w:rsidRDefault="00000000" w:rsidRPr="00000000" w14:paraId="000000E4">
      <w:pPr>
        <w:numPr>
          <w:ilvl w:val="0"/>
          <w:numId w:val="17"/>
        </w:numPr>
        <w:spacing w:before="200" w:lineRule="auto"/>
        <w:ind w:left="720" w:hanging="360"/>
        <w:rPr>
          <w:u w:val="none"/>
        </w:rPr>
      </w:pPr>
      <w:r w:rsidDel="00000000" w:rsidR="00000000" w:rsidRPr="00000000">
        <w:rPr>
          <w:b w:val="1"/>
          <w:rtl w:val="0"/>
        </w:rPr>
        <w:t xml:space="preserve">Implementation Services:</w:t>
      </w:r>
      <w:r w:rsidDel="00000000" w:rsidR="00000000" w:rsidRPr="00000000">
        <w:rPr>
          <w:rtl w:val="0"/>
        </w:rPr>
        <w:t xml:space="preserve"> Costs for initial deployment, integration, and configuration.  </w:t>
      </w:r>
    </w:p>
    <w:p w:rsidR="00000000" w:rsidDel="00000000" w:rsidP="00000000" w:rsidRDefault="00000000" w:rsidRPr="00000000" w14:paraId="000000E5">
      <w:pPr>
        <w:numPr>
          <w:ilvl w:val="0"/>
          <w:numId w:val="17"/>
        </w:numPr>
        <w:ind w:left="720" w:hanging="360"/>
        <w:rPr>
          <w:u w:val="none"/>
        </w:rPr>
      </w:pPr>
      <w:r w:rsidDel="00000000" w:rsidR="00000000" w:rsidRPr="00000000">
        <w:rPr>
          <w:b w:val="1"/>
          <w:rtl w:val="0"/>
        </w:rPr>
        <w:t xml:space="preserve">Training and Onboarding:</w:t>
      </w:r>
      <w:r w:rsidDel="00000000" w:rsidR="00000000" w:rsidRPr="00000000">
        <w:rPr>
          <w:rtl w:val="0"/>
        </w:rPr>
        <w:t xml:space="preserve"> Whether formal training sessions or e-learning modules are included or billed separately.  </w:t>
      </w:r>
    </w:p>
    <w:p w:rsidR="00000000" w:rsidDel="00000000" w:rsidP="00000000" w:rsidRDefault="00000000" w:rsidRPr="00000000" w14:paraId="000000E6">
      <w:pPr>
        <w:numPr>
          <w:ilvl w:val="0"/>
          <w:numId w:val="17"/>
        </w:numPr>
        <w:ind w:left="720" w:hanging="360"/>
        <w:rPr>
          <w:u w:val="none"/>
        </w:rPr>
      </w:pPr>
      <w:r w:rsidDel="00000000" w:rsidR="00000000" w:rsidRPr="00000000">
        <w:rPr>
          <w:b w:val="1"/>
          <w:rtl w:val="0"/>
        </w:rPr>
        <w:t xml:space="preserve">Periodic Health Checks:</w:t>
      </w:r>
      <w:r w:rsidDel="00000000" w:rsidR="00000000" w:rsidRPr="00000000">
        <w:rPr>
          <w:rtl w:val="0"/>
        </w:rPr>
        <w:t xml:space="preserve"> Optional or included security posture reviews, configuration optimizations, or product maturity assessments.</w:t>
      </w:r>
    </w:p>
    <w:p w:rsidR="00000000" w:rsidDel="00000000" w:rsidP="00000000" w:rsidRDefault="00000000" w:rsidRPr="00000000" w14:paraId="000000E7">
      <w:pPr>
        <w:pStyle w:val="Heading3"/>
        <w:rPr>
          <w:b w:val="1"/>
          <w:color w:val="000000"/>
          <w:sz w:val="26"/>
          <w:szCs w:val="26"/>
        </w:rPr>
      </w:pPr>
      <w:bookmarkStart w:colFirst="0" w:colLast="0" w:name="_pk94nv66vk84"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8">
      <w:pPr>
        <w:numPr>
          <w:ilvl w:val="0"/>
          <w:numId w:val="21"/>
        </w:numPr>
        <w:spacing w:before="200" w:lineRule="auto"/>
        <w:ind w:left="720" w:hanging="360"/>
        <w:rPr>
          <w:u w:val="none"/>
        </w:rPr>
      </w:pPr>
      <w:r w:rsidDel="00000000" w:rsidR="00000000" w:rsidRPr="00000000">
        <w:rPr>
          <w:b w:val="1"/>
          <w:rtl w:val="0"/>
        </w:rPr>
        <w:t xml:space="preserve">Payment Schedule:</w:t>
      </w:r>
      <w:r w:rsidDel="00000000" w:rsidR="00000000" w:rsidRPr="00000000">
        <w:rPr>
          <w:rtl w:val="0"/>
        </w:rPr>
        <w:t xml:space="preserve"> Milestone-based, annual, or monthly subscription.  </w:t>
      </w:r>
    </w:p>
    <w:p w:rsidR="00000000" w:rsidDel="00000000" w:rsidP="00000000" w:rsidRDefault="00000000" w:rsidRPr="00000000" w14:paraId="000000E9">
      <w:pPr>
        <w:numPr>
          <w:ilvl w:val="0"/>
          <w:numId w:val="21"/>
        </w:numPr>
        <w:ind w:left="720" w:hanging="360"/>
        <w:rPr>
          <w:u w:val="none"/>
        </w:rPr>
      </w:pPr>
      <w:r w:rsidDel="00000000" w:rsidR="00000000" w:rsidRPr="00000000">
        <w:rPr>
          <w:b w:val="1"/>
          <w:rtl w:val="0"/>
        </w:rPr>
        <w:t xml:space="preserve">Termination and Renewals: </w:t>
      </w:r>
      <w:r w:rsidDel="00000000" w:rsidR="00000000" w:rsidRPr="00000000">
        <w:rPr>
          <w:rtl w:val="0"/>
        </w:rPr>
        <w:t xml:space="preserve">Terms that address early termination or contract extensions, factoring in evolving CRA requirements or organizational changes.  </w:t>
      </w:r>
    </w:p>
    <w:p w:rsidR="00000000" w:rsidDel="00000000" w:rsidP="00000000" w:rsidRDefault="00000000" w:rsidRPr="00000000" w14:paraId="000000EA">
      <w:pPr>
        <w:numPr>
          <w:ilvl w:val="0"/>
          <w:numId w:val="21"/>
        </w:numPr>
        <w:ind w:left="720" w:hanging="360"/>
        <w:rPr>
          <w:u w:val="none"/>
        </w:rPr>
      </w:pPr>
      <w:r w:rsidDel="00000000" w:rsidR="00000000" w:rsidRPr="00000000">
        <w:rPr>
          <w:b w:val="1"/>
          <w:rtl w:val="0"/>
        </w:rPr>
        <w:t xml:space="preserve">Future Scalability:</w:t>
      </w:r>
      <w:r w:rsidDel="00000000" w:rsidR="00000000" w:rsidRPr="00000000">
        <w:rPr>
          <w:rtl w:val="0"/>
        </w:rPr>
        <w:t xml:space="preserve"> Options to add additional sites, device categories, or modules without renegotiating the entire contract.</w:t>
      </w:r>
    </w:p>
    <w:p w:rsidR="00000000" w:rsidDel="00000000" w:rsidP="00000000" w:rsidRDefault="00000000" w:rsidRPr="00000000" w14:paraId="000000E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pStyle w:val="Heading2"/>
        <w:rPr>
          <w:b w:val="1"/>
          <w:sz w:val="34"/>
          <w:szCs w:val="34"/>
        </w:rPr>
      </w:pPr>
      <w:bookmarkStart w:colFirst="0" w:colLast="0" w:name="_e3i93218a07r"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ED">
      <w:pPr>
        <w:pStyle w:val="Heading3"/>
        <w:rPr>
          <w:b w:val="1"/>
          <w:color w:val="000000"/>
          <w:sz w:val="26"/>
          <w:szCs w:val="26"/>
        </w:rPr>
      </w:pPr>
      <w:bookmarkStart w:colFirst="0" w:colLast="0" w:name="_wus1d2q2ch3" w:id="34"/>
      <w:bookmarkEnd w:id="34"/>
      <w:r w:rsidDel="00000000" w:rsidR="00000000" w:rsidRPr="00000000">
        <w:rPr>
          <w:b w:val="1"/>
          <w:color w:val="000000"/>
          <w:sz w:val="26"/>
          <w:szCs w:val="26"/>
          <w:rtl w:val="0"/>
        </w:rPr>
        <w:t xml:space="preserve">7.1 Alignment with CRA Technical Requirements</w:t>
      </w:r>
    </w:p>
    <w:p w:rsidR="00000000" w:rsidDel="00000000" w:rsidP="00000000" w:rsidRDefault="00000000" w:rsidRPr="00000000" w14:paraId="000000EE">
      <w:pPr>
        <w:numPr>
          <w:ilvl w:val="0"/>
          <w:numId w:val="40"/>
        </w:numPr>
        <w:ind w:left="720" w:hanging="360"/>
        <w:rPr>
          <w:u w:val="none"/>
        </w:rPr>
      </w:pPr>
      <w:r w:rsidDel="00000000" w:rsidR="00000000" w:rsidRPr="00000000">
        <w:rPr>
          <w:b w:val="1"/>
          <w:rtl w:val="0"/>
        </w:rPr>
        <w:t xml:space="preserve">Coverage: </w:t>
      </w:r>
      <w:r w:rsidDel="00000000" w:rsidR="00000000" w:rsidRPr="00000000">
        <w:rPr>
          <w:rtl w:val="0"/>
        </w:rPr>
        <w:t xml:space="preserve">How well does the proposed solution address the CRA’s core lifecycle demands (secure design, monitoring, patching)?  </w:t>
      </w:r>
    </w:p>
    <w:p w:rsidR="00000000" w:rsidDel="00000000" w:rsidP="00000000" w:rsidRDefault="00000000" w:rsidRPr="00000000" w14:paraId="000000EF">
      <w:pPr>
        <w:numPr>
          <w:ilvl w:val="0"/>
          <w:numId w:val="40"/>
        </w:numPr>
        <w:ind w:left="720" w:hanging="360"/>
        <w:rPr>
          <w:u w:val="none"/>
        </w:rPr>
      </w:pPr>
      <w:r w:rsidDel="00000000" w:rsidR="00000000" w:rsidRPr="00000000">
        <w:rPr>
          <w:b w:val="1"/>
          <w:rtl w:val="0"/>
        </w:rPr>
        <w:t xml:space="preserve">Robustness:</w:t>
      </w:r>
      <w:r w:rsidDel="00000000" w:rsidR="00000000" w:rsidRPr="00000000">
        <w:rPr>
          <w:rtl w:val="0"/>
        </w:rPr>
        <w:t xml:space="preserve"> Ability to handle large, heterogeneous device landscapes (IT, OT, IoT).</w:t>
      </w:r>
    </w:p>
    <w:p w:rsidR="00000000" w:rsidDel="00000000" w:rsidP="00000000" w:rsidRDefault="00000000" w:rsidRPr="00000000" w14:paraId="000000F0">
      <w:pPr>
        <w:pStyle w:val="Heading3"/>
        <w:rPr>
          <w:b w:val="1"/>
          <w:color w:val="000000"/>
          <w:sz w:val="26"/>
          <w:szCs w:val="26"/>
        </w:rPr>
      </w:pPr>
      <w:bookmarkStart w:colFirst="0" w:colLast="0" w:name="_cljp0ijmzv0" w:id="35"/>
      <w:bookmarkEnd w:id="35"/>
      <w:r w:rsidDel="00000000" w:rsidR="00000000" w:rsidRPr="00000000">
        <w:rPr>
          <w:b w:val="1"/>
          <w:color w:val="000000"/>
          <w:sz w:val="26"/>
          <w:szCs w:val="26"/>
          <w:rtl w:val="0"/>
        </w:rPr>
        <w:t xml:space="preserve">7.2 Feasibility, Scalability, and Operational Integration</w:t>
      </w:r>
    </w:p>
    <w:p w:rsidR="00000000" w:rsidDel="00000000" w:rsidP="00000000" w:rsidRDefault="00000000" w:rsidRPr="00000000" w14:paraId="000000F1">
      <w:pPr>
        <w:numPr>
          <w:ilvl w:val="0"/>
          <w:numId w:val="11"/>
        </w:numPr>
        <w:ind w:left="720" w:hanging="360"/>
        <w:rPr>
          <w:u w:val="none"/>
        </w:rPr>
      </w:pPr>
      <w:r w:rsidDel="00000000" w:rsidR="00000000" w:rsidRPr="00000000">
        <w:rPr>
          <w:b w:val="1"/>
          <w:rtl w:val="0"/>
        </w:rPr>
        <w:t xml:space="preserve">Ease of Integration:</w:t>
      </w:r>
      <w:r w:rsidDel="00000000" w:rsidR="00000000" w:rsidRPr="00000000">
        <w:rPr>
          <w:rtl w:val="0"/>
        </w:rPr>
        <w:t xml:space="preserve"> How effectively it meshes with existing security tools, ticketing systems, or NAC solutions.  </w:t>
      </w:r>
    </w:p>
    <w:p w:rsidR="00000000" w:rsidDel="00000000" w:rsidP="00000000" w:rsidRDefault="00000000" w:rsidRPr="00000000" w14:paraId="000000F2">
      <w:pPr>
        <w:numPr>
          <w:ilvl w:val="0"/>
          <w:numId w:val="11"/>
        </w:numPr>
        <w:ind w:left="720" w:hanging="360"/>
        <w:rPr>
          <w:u w:val="none"/>
        </w:rPr>
      </w:pPr>
      <w:r w:rsidDel="00000000" w:rsidR="00000000" w:rsidRPr="00000000">
        <w:rPr>
          <w:b w:val="1"/>
          <w:rtl w:val="0"/>
        </w:rPr>
        <w:t xml:space="preserve">Performance and Reliability:</w:t>
      </w:r>
      <w:r w:rsidDel="00000000" w:rsidR="00000000" w:rsidRPr="00000000">
        <w:rPr>
          <w:rtl w:val="0"/>
        </w:rPr>
        <w:t xml:space="preserve"> Suitability for resource-constrained ICS networks, minimal footprint, and no adverse impact on device operations.</w:t>
      </w:r>
    </w:p>
    <w:p w:rsidR="00000000" w:rsidDel="00000000" w:rsidP="00000000" w:rsidRDefault="00000000" w:rsidRPr="00000000" w14:paraId="000000F3">
      <w:pPr>
        <w:pStyle w:val="Heading3"/>
        <w:rPr>
          <w:b w:val="1"/>
          <w:color w:val="000000"/>
          <w:sz w:val="26"/>
          <w:szCs w:val="26"/>
        </w:rPr>
      </w:pPr>
      <w:bookmarkStart w:colFirst="0" w:colLast="0" w:name="_ovnfkb8b39r" w:id="36"/>
      <w:bookmarkEnd w:id="36"/>
      <w:r w:rsidDel="00000000" w:rsidR="00000000" w:rsidRPr="00000000">
        <w:rPr>
          <w:b w:val="1"/>
          <w:color w:val="000000"/>
          <w:sz w:val="26"/>
          <w:szCs w:val="26"/>
          <w:rtl w:val="0"/>
        </w:rPr>
        <w:t xml:space="preserve">7.3 Total Cost of Ownership and Value</w:t>
      </w:r>
    </w:p>
    <w:p w:rsidR="00000000" w:rsidDel="00000000" w:rsidP="00000000" w:rsidRDefault="00000000" w:rsidRPr="00000000" w14:paraId="000000F4">
      <w:pPr>
        <w:numPr>
          <w:ilvl w:val="0"/>
          <w:numId w:val="7"/>
        </w:numPr>
        <w:ind w:left="720" w:hanging="360"/>
        <w:rPr>
          <w:u w:val="none"/>
        </w:rPr>
      </w:pPr>
      <w:r w:rsidDel="00000000" w:rsidR="00000000" w:rsidRPr="00000000">
        <w:rPr>
          <w:b w:val="1"/>
          <w:rtl w:val="0"/>
        </w:rPr>
        <w:t xml:space="preserve">Initial vs. Long-Term Costs:</w:t>
      </w:r>
      <w:r w:rsidDel="00000000" w:rsidR="00000000" w:rsidRPr="00000000">
        <w:rPr>
          <w:rtl w:val="0"/>
        </w:rPr>
        <w:t xml:space="preserve"> Licenses, ongoing support, potential expansions, and intangible benefits like reduced risk.  </w:t>
      </w:r>
    </w:p>
    <w:p w:rsidR="00000000" w:rsidDel="00000000" w:rsidP="00000000" w:rsidRDefault="00000000" w:rsidRPr="00000000" w14:paraId="000000F5">
      <w:pPr>
        <w:numPr>
          <w:ilvl w:val="0"/>
          <w:numId w:val="7"/>
        </w:numPr>
        <w:ind w:left="720" w:hanging="360"/>
        <w:rPr>
          <w:u w:val="none"/>
        </w:rPr>
      </w:pPr>
      <w:r w:rsidDel="00000000" w:rsidR="00000000" w:rsidRPr="00000000">
        <w:rPr>
          <w:b w:val="1"/>
          <w:rtl w:val="0"/>
        </w:rPr>
        <w:t xml:space="preserve">ROI Justification:</w:t>
      </w:r>
      <w:r w:rsidDel="00000000" w:rsidR="00000000" w:rsidRPr="00000000">
        <w:rPr>
          <w:rtl w:val="0"/>
        </w:rPr>
        <w:t xml:space="preserve"> Expected savings from preventing costly downtime or compliance fines.</w:t>
      </w:r>
    </w:p>
    <w:p w:rsidR="00000000" w:rsidDel="00000000" w:rsidP="00000000" w:rsidRDefault="00000000" w:rsidRPr="00000000" w14:paraId="000000F6">
      <w:pPr>
        <w:pStyle w:val="Heading3"/>
        <w:rPr>
          <w:b w:val="1"/>
          <w:color w:val="000000"/>
          <w:sz w:val="26"/>
          <w:szCs w:val="26"/>
        </w:rPr>
      </w:pPr>
      <w:bookmarkStart w:colFirst="0" w:colLast="0" w:name="_v1dipdfezsa" w:id="37"/>
      <w:bookmarkEnd w:id="37"/>
      <w:r w:rsidDel="00000000" w:rsidR="00000000" w:rsidRPr="00000000">
        <w:rPr>
          <w:b w:val="1"/>
          <w:color w:val="000000"/>
          <w:sz w:val="26"/>
          <w:szCs w:val="26"/>
          <w:rtl w:val="0"/>
        </w:rPr>
        <w:t xml:space="preserve">7.4 Vendor Reliability and Support Model</w:t>
      </w:r>
    </w:p>
    <w:p w:rsidR="00000000" w:rsidDel="00000000" w:rsidP="00000000" w:rsidRDefault="00000000" w:rsidRPr="00000000" w14:paraId="000000F7">
      <w:pPr>
        <w:numPr>
          <w:ilvl w:val="0"/>
          <w:numId w:val="38"/>
        </w:numPr>
        <w:ind w:left="720" w:hanging="360"/>
        <w:rPr>
          <w:u w:val="none"/>
        </w:rPr>
      </w:pPr>
      <w:r w:rsidDel="00000000" w:rsidR="00000000" w:rsidRPr="00000000">
        <w:rPr>
          <w:b w:val="1"/>
          <w:rtl w:val="0"/>
        </w:rPr>
        <w:t xml:space="preserve">Financial and Operational Stability: </w:t>
      </w:r>
      <w:r w:rsidDel="00000000" w:rsidR="00000000" w:rsidRPr="00000000">
        <w:rPr>
          <w:rtl w:val="0"/>
        </w:rPr>
        <w:t xml:space="preserve">The vendor’s ability to maintain updates, threat intelligence, and top-tier support over time.  </w:t>
      </w:r>
    </w:p>
    <w:p w:rsidR="00000000" w:rsidDel="00000000" w:rsidP="00000000" w:rsidRDefault="00000000" w:rsidRPr="00000000" w14:paraId="000000F8">
      <w:pPr>
        <w:numPr>
          <w:ilvl w:val="0"/>
          <w:numId w:val="38"/>
        </w:numPr>
        <w:ind w:left="720" w:hanging="360"/>
        <w:rPr>
          <w:u w:val="none"/>
        </w:rPr>
      </w:pPr>
      <w:r w:rsidDel="00000000" w:rsidR="00000000" w:rsidRPr="00000000">
        <w:rPr>
          <w:b w:val="1"/>
          <w:rtl w:val="0"/>
        </w:rPr>
        <w:t xml:space="preserve">Implementation Record: </w:t>
      </w:r>
      <w:r w:rsidDel="00000000" w:rsidR="00000000" w:rsidRPr="00000000">
        <w:rPr>
          <w:rtl w:val="0"/>
        </w:rPr>
        <w:t xml:space="preserve">Timely, successful rollouts with minimal business disruption.</w:t>
      </w:r>
    </w:p>
    <w:p w:rsidR="00000000" w:rsidDel="00000000" w:rsidP="00000000" w:rsidRDefault="00000000" w:rsidRPr="00000000" w14:paraId="000000F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2"/>
        <w:rPr/>
      </w:pPr>
      <w:bookmarkStart w:colFirst="0" w:colLast="0" w:name="_43nlhvp3f5cz" w:id="38"/>
      <w:bookmarkEnd w:id="38"/>
      <w:r w:rsidDel="00000000" w:rsidR="00000000" w:rsidRPr="00000000">
        <w:rPr>
          <w:b w:val="1"/>
          <w:sz w:val="34"/>
          <w:szCs w:val="34"/>
          <w:rtl w:val="0"/>
        </w:rPr>
        <w:t xml:space="preserve">8. Proposal Submission Guidelines</w:t>
      </w:r>
      <w:r w:rsidDel="00000000" w:rsidR="00000000" w:rsidRPr="00000000">
        <w:rPr>
          <w:rtl w:val="0"/>
        </w:rPr>
      </w:r>
    </w:p>
    <w:p w:rsidR="00000000" w:rsidDel="00000000" w:rsidP="00000000" w:rsidRDefault="00000000" w:rsidRPr="00000000" w14:paraId="000000FB">
      <w:pPr>
        <w:pStyle w:val="Heading3"/>
        <w:rPr>
          <w:b w:val="1"/>
          <w:color w:val="000000"/>
          <w:sz w:val="26"/>
          <w:szCs w:val="26"/>
        </w:rPr>
      </w:pPr>
      <w:bookmarkStart w:colFirst="0" w:colLast="0" w:name="_gs1lh9h1483i"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[Date]</w:t>
            </w:r>
          </w:p>
        </w:tc>
      </w:tr>
    </w:tbl>
    <w:p w:rsidR="00000000" w:rsidDel="00000000" w:rsidP="00000000" w:rsidRDefault="00000000" w:rsidRPr="00000000" w14:paraId="0000010C">
      <w:pPr>
        <w:pStyle w:val="Heading3"/>
        <w:rPr>
          <w:b w:val="1"/>
          <w:color w:val="000000"/>
          <w:sz w:val="26"/>
          <w:szCs w:val="26"/>
        </w:rPr>
      </w:pPr>
      <w:bookmarkStart w:colFirst="0" w:colLast="0" w:name="_m3hbwexfczh" w:id="40"/>
      <w:bookmarkEnd w:id="40"/>
      <w:r w:rsidDel="00000000" w:rsidR="00000000" w:rsidRPr="00000000">
        <w:rPr>
          <w:b w:val="1"/>
          <w:color w:val="000000"/>
          <w:sz w:val="26"/>
          <w:szCs w:val="26"/>
          <w:rtl w:val="0"/>
        </w:rPr>
        <w:t xml:space="preserve">8.2 Proposal Format and Required Sections</w:t>
      </w:r>
    </w:p>
    <w:p w:rsidR="00000000" w:rsidDel="00000000" w:rsidP="00000000" w:rsidRDefault="00000000" w:rsidRPr="00000000" w14:paraId="0000010D">
      <w:pPr>
        <w:numPr>
          <w:ilvl w:val="0"/>
          <w:numId w:val="23"/>
        </w:numPr>
        <w:spacing w:before="200" w:lineRule="auto"/>
        <w:ind w:left="720" w:hanging="360"/>
        <w:rPr>
          <w:u w:val="none"/>
        </w:rPr>
      </w:pPr>
      <w:r w:rsidDel="00000000" w:rsidR="00000000" w:rsidRPr="00000000">
        <w:rPr>
          <w:rtl w:val="0"/>
        </w:rPr>
        <w:t xml:space="preserve">Executive Summary  </w:t>
      </w:r>
    </w:p>
    <w:p w:rsidR="00000000" w:rsidDel="00000000" w:rsidP="00000000" w:rsidRDefault="00000000" w:rsidRPr="00000000" w14:paraId="0000010E">
      <w:pPr>
        <w:numPr>
          <w:ilvl w:val="0"/>
          <w:numId w:val="23"/>
        </w:numPr>
        <w:ind w:left="720" w:hanging="360"/>
        <w:rPr>
          <w:u w:val="none"/>
        </w:rPr>
      </w:pPr>
      <w:r w:rsidDel="00000000" w:rsidR="00000000" w:rsidRPr="00000000">
        <w:rPr>
          <w:rtl w:val="0"/>
        </w:rPr>
        <w:t xml:space="preserve">Company Overview and Qualifications  </w:t>
      </w:r>
    </w:p>
    <w:p w:rsidR="00000000" w:rsidDel="00000000" w:rsidP="00000000" w:rsidRDefault="00000000" w:rsidRPr="00000000" w14:paraId="0000010F">
      <w:pPr>
        <w:numPr>
          <w:ilvl w:val="0"/>
          <w:numId w:val="23"/>
        </w:numPr>
        <w:ind w:left="720" w:hanging="360"/>
        <w:rPr>
          <w:u w:val="none"/>
        </w:rPr>
      </w:pPr>
      <w:r w:rsidDel="00000000" w:rsidR="00000000" w:rsidRPr="00000000">
        <w:rPr>
          <w:rtl w:val="0"/>
        </w:rPr>
        <w:t xml:space="preserve">Technical and Functional Alignment (responding to Section 3 requirements)  </w:t>
      </w:r>
    </w:p>
    <w:p w:rsidR="00000000" w:rsidDel="00000000" w:rsidP="00000000" w:rsidRDefault="00000000" w:rsidRPr="00000000" w14:paraId="00000110">
      <w:pPr>
        <w:numPr>
          <w:ilvl w:val="0"/>
          <w:numId w:val="23"/>
        </w:numPr>
        <w:ind w:left="720" w:hanging="360"/>
        <w:rPr>
          <w:u w:val="none"/>
        </w:rPr>
      </w:pPr>
      <w:r w:rsidDel="00000000" w:rsidR="00000000" w:rsidRPr="00000000">
        <w:rPr>
          <w:rtl w:val="0"/>
        </w:rPr>
        <w:t xml:space="preserve">Implementation Plan, Timeline, and Training  </w:t>
      </w:r>
    </w:p>
    <w:p w:rsidR="00000000" w:rsidDel="00000000" w:rsidP="00000000" w:rsidRDefault="00000000" w:rsidRPr="00000000" w14:paraId="00000111">
      <w:pPr>
        <w:numPr>
          <w:ilvl w:val="0"/>
          <w:numId w:val="23"/>
        </w:numPr>
        <w:ind w:left="720" w:hanging="360"/>
        <w:rPr>
          <w:u w:val="none"/>
        </w:rPr>
      </w:pPr>
      <w:r w:rsidDel="00000000" w:rsidR="00000000" w:rsidRPr="00000000">
        <w:rPr>
          <w:rtl w:val="0"/>
        </w:rPr>
        <w:t xml:space="preserve">Pricing Model and SLA  </w:t>
      </w:r>
    </w:p>
    <w:p w:rsidR="00000000" w:rsidDel="00000000" w:rsidP="00000000" w:rsidRDefault="00000000" w:rsidRPr="00000000" w14:paraId="00000112">
      <w:pPr>
        <w:numPr>
          <w:ilvl w:val="0"/>
          <w:numId w:val="23"/>
        </w:numPr>
        <w:ind w:left="720" w:hanging="360"/>
        <w:rPr>
          <w:u w:val="none"/>
        </w:rPr>
      </w:pPr>
      <w:r w:rsidDel="00000000" w:rsidR="00000000" w:rsidRPr="00000000">
        <w:rPr>
          <w:rtl w:val="0"/>
        </w:rPr>
        <w:t xml:space="preserve">References and Case Studies  </w:t>
      </w:r>
    </w:p>
    <w:p w:rsidR="00000000" w:rsidDel="00000000" w:rsidP="00000000" w:rsidRDefault="00000000" w:rsidRPr="00000000" w14:paraId="00000113">
      <w:pPr>
        <w:numPr>
          <w:ilvl w:val="0"/>
          <w:numId w:val="23"/>
        </w:numPr>
        <w:ind w:left="720" w:hanging="360"/>
        <w:rPr>
          <w:u w:val="none"/>
        </w:rPr>
      </w:pPr>
      <w:r w:rsidDel="00000000" w:rsidR="00000000" w:rsidRPr="00000000">
        <w:rPr>
          <w:rtl w:val="0"/>
        </w:rPr>
        <w:t xml:space="preserve">Appendices (Optional)</w:t>
      </w:r>
    </w:p>
    <w:p w:rsidR="00000000" w:rsidDel="00000000" w:rsidP="00000000" w:rsidRDefault="00000000" w:rsidRPr="00000000" w14:paraId="00000114">
      <w:pPr>
        <w:pStyle w:val="Heading3"/>
        <w:rPr>
          <w:b w:val="1"/>
          <w:color w:val="000000"/>
          <w:sz w:val="26"/>
          <w:szCs w:val="26"/>
        </w:rPr>
      </w:pPr>
      <w:bookmarkStart w:colFirst="0" w:colLast="0" w:name="_qlh879i3wzvp" w:id="41"/>
      <w:bookmarkEnd w:id="41"/>
      <w:r w:rsidDel="00000000" w:rsidR="00000000" w:rsidRPr="00000000">
        <w:rPr>
          <w:b w:val="1"/>
          <w:color w:val="000000"/>
          <w:sz w:val="26"/>
          <w:szCs w:val="26"/>
          <w:rtl w:val="0"/>
        </w:rPr>
        <w:t xml:space="preserve">8.3 Communication, Q&amp;A, and Clarification</w:t>
      </w:r>
    </w:p>
    <w:p w:rsidR="00000000" w:rsidDel="00000000" w:rsidP="00000000" w:rsidRDefault="00000000" w:rsidRPr="00000000" w14:paraId="00000115">
      <w:pPr>
        <w:numPr>
          <w:ilvl w:val="0"/>
          <w:numId w:val="14"/>
        </w:numPr>
        <w:spacing w:before="200" w:lineRule="auto"/>
        <w:ind w:left="720" w:hanging="360"/>
        <w:rPr>
          <w:u w:val="none"/>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16">
      <w:pPr>
        <w:numPr>
          <w:ilvl w:val="0"/>
          <w:numId w:val="14"/>
        </w:numPr>
        <w:ind w:left="720" w:hanging="360"/>
        <w:rPr>
          <w:u w:val="none"/>
        </w:rPr>
      </w:pPr>
      <w:r w:rsidDel="00000000" w:rsidR="00000000" w:rsidRPr="00000000">
        <w:rPr>
          <w:rtl w:val="0"/>
        </w:rPr>
        <w:t xml:space="preserve">All questions must be submitted in writing by the Q&amp;A deadline; consolidated answers will be shared with all vendors to maintain fairness.</w:t>
      </w:r>
    </w:p>
    <w:p w:rsidR="00000000" w:rsidDel="00000000" w:rsidP="00000000" w:rsidRDefault="00000000" w:rsidRPr="00000000" w14:paraId="00000117">
      <w:pPr>
        <w:pStyle w:val="Heading3"/>
        <w:rPr>
          <w:b w:val="1"/>
          <w:color w:val="000000"/>
          <w:sz w:val="26"/>
          <w:szCs w:val="26"/>
        </w:rPr>
      </w:pPr>
      <w:bookmarkStart w:colFirst="0" w:colLast="0" w:name="_docwxokqrjsb"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8">
      <w:pPr>
        <w:numPr>
          <w:ilvl w:val="0"/>
          <w:numId w:val="18"/>
        </w:numPr>
        <w:spacing w:before="200" w:lineRule="auto"/>
        <w:ind w:left="720" w:hanging="360"/>
        <w:rPr>
          <w:u w:val="none"/>
        </w:rPr>
      </w:pPr>
      <w:r w:rsidDel="00000000" w:rsidR="00000000" w:rsidRPr="00000000">
        <w:rPr>
          <w:rtl w:val="0"/>
        </w:rPr>
        <w:t xml:space="preserve">The evaluation committee will review proposals based on completeness, technical alignment, cost, and vendor stability.  </w:t>
      </w:r>
    </w:p>
    <w:p w:rsidR="00000000" w:rsidDel="00000000" w:rsidP="00000000" w:rsidRDefault="00000000" w:rsidRPr="00000000" w14:paraId="00000119">
      <w:pPr>
        <w:numPr>
          <w:ilvl w:val="0"/>
          <w:numId w:val="18"/>
        </w:numPr>
        <w:ind w:left="720" w:hanging="360"/>
        <w:rPr>
          <w:u w:val="none"/>
        </w:rPr>
      </w:pPr>
      <w:r w:rsidDel="00000000" w:rsidR="00000000" w:rsidRPr="00000000">
        <w:rPr>
          <w:rtl w:val="0"/>
        </w:rPr>
        <w:t xml:space="preserve">Shortlisted vendors may be asked for product demos, PoC trials, or detailed architectural discussions.  </w:t>
      </w:r>
    </w:p>
    <w:p w:rsidR="00000000" w:rsidDel="00000000" w:rsidP="00000000" w:rsidRDefault="00000000" w:rsidRPr="00000000" w14:paraId="0000011A">
      <w:pPr>
        <w:numPr>
          <w:ilvl w:val="0"/>
          <w:numId w:val="18"/>
        </w:numPr>
        <w:ind w:left="720" w:hanging="360"/>
        <w:rPr>
          <w:u w:val="none"/>
        </w:rPr>
      </w:pPr>
      <w:r w:rsidDel="00000000" w:rsidR="00000000" w:rsidRPr="00000000">
        <w:rPr>
          <w:rtl w:val="0"/>
        </w:rPr>
        <w:t xml:space="preserve">Final award is contingent on contract negotiations and acceptance of key terms.</w:t>
      </w:r>
    </w:p>
    <w:p w:rsidR="00000000" w:rsidDel="00000000" w:rsidP="00000000" w:rsidRDefault="00000000" w:rsidRPr="00000000" w14:paraId="0000011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pStyle w:val="Heading2"/>
        <w:rPr>
          <w:b w:val="1"/>
          <w:sz w:val="34"/>
          <w:szCs w:val="34"/>
        </w:rPr>
      </w:pPr>
      <w:bookmarkStart w:colFirst="0" w:colLast="0" w:name="_vsi84vgt80vg"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1D">
      <w:pPr>
        <w:pStyle w:val="Heading3"/>
        <w:rPr>
          <w:b w:val="1"/>
          <w:color w:val="000000"/>
          <w:sz w:val="26"/>
          <w:szCs w:val="26"/>
        </w:rPr>
      </w:pPr>
      <w:bookmarkStart w:colFirst="0" w:colLast="0" w:name="_vp24yrz5u4m" w:id="44"/>
      <w:bookmarkEnd w:id="44"/>
      <w:r w:rsidDel="00000000" w:rsidR="00000000" w:rsidRPr="00000000">
        <w:rPr>
          <w:b w:val="1"/>
          <w:color w:val="000000"/>
          <w:sz w:val="26"/>
          <w:szCs w:val="26"/>
          <w:rtl w:val="0"/>
        </w:rPr>
        <w:t xml:space="preserve">9.1 Confidentiality, Data Handling, and Non-Disclosure</w:t>
      </w:r>
    </w:p>
    <w:p w:rsidR="00000000" w:rsidDel="00000000" w:rsidP="00000000" w:rsidRDefault="00000000" w:rsidRPr="00000000" w14:paraId="0000011E">
      <w:pPr>
        <w:numPr>
          <w:ilvl w:val="0"/>
          <w:numId w:val="12"/>
        </w:numPr>
        <w:spacing w:before="200" w:lineRule="auto"/>
        <w:ind w:left="720" w:hanging="360"/>
        <w:rPr>
          <w:u w:val="none"/>
        </w:rPr>
      </w:pPr>
      <w:r w:rsidDel="00000000" w:rsidR="00000000" w:rsidRPr="00000000">
        <w:rPr>
          <w:rtl w:val="0"/>
        </w:rPr>
        <w:t xml:space="preserve">All RFP-related information is confidential and may require a signed Non-Disclosure Agreement (NDA).  </w:t>
      </w:r>
    </w:p>
    <w:p w:rsidR="00000000" w:rsidDel="00000000" w:rsidP="00000000" w:rsidRDefault="00000000" w:rsidRPr="00000000" w14:paraId="0000011F">
      <w:pPr>
        <w:numPr>
          <w:ilvl w:val="0"/>
          <w:numId w:val="12"/>
        </w:numPr>
        <w:ind w:left="720" w:hanging="360"/>
        <w:rPr>
          <w:u w:val="none"/>
        </w:rPr>
      </w:pPr>
      <w:r w:rsidDel="00000000" w:rsidR="00000000" w:rsidRPr="00000000">
        <w:rPr>
          <w:rtl w:val="0"/>
        </w:rPr>
        <w:t xml:space="preserve">Vendors must comply with EU data protection laws (e.g., GDPR) and maintain data security aligned with CRA standards.</w:t>
      </w:r>
    </w:p>
    <w:p w:rsidR="00000000" w:rsidDel="00000000" w:rsidP="00000000" w:rsidRDefault="00000000" w:rsidRPr="00000000" w14:paraId="00000120">
      <w:pPr>
        <w:pStyle w:val="Heading3"/>
        <w:rPr>
          <w:b w:val="1"/>
          <w:color w:val="000000"/>
          <w:sz w:val="26"/>
          <w:szCs w:val="26"/>
        </w:rPr>
      </w:pPr>
      <w:bookmarkStart w:colFirst="0" w:colLast="0" w:name="_w2fcak2ofy9"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1">
      <w:pPr>
        <w:numPr>
          <w:ilvl w:val="0"/>
          <w:numId w:val="19"/>
        </w:numPr>
        <w:spacing w:before="200" w:lineRule="auto"/>
        <w:ind w:left="720" w:hanging="360"/>
        <w:rPr>
          <w:u w:val="none"/>
        </w:rPr>
      </w:pPr>
      <w:r w:rsidDel="00000000" w:rsidR="00000000" w:rsidRPr="00000000">
        <w:rPr>
          <w:rtl w:val="0"/>
        </w:rPr>
        <w:t xml:space="preserve">Vendors shall carry appropriate cyber liability coverage and indemnify our organization against damages arising from vendor negligence or product flaws.  </w:t>
      </w:r>
    </w:p>
    <w:p w:rsidR="00000000" w:rsidDel="00000000" w:rsidP="00000000" w:rsidRDefault="00000000" w:rsidRPr="00000000" w14:paraId="00000122">
      <w:pPr>
        <w:numPr>
          <w:ilvl w:val="0"/>
          <w:numId w:val="19"/>
        </w:numPr>
        <w:ind w:left="720" w:hanging="360"/>
        <w:rPr>
          <w:u w:val="none"/>
        </w:rPr>
      </w:pPr>
      <w:r w:rsidDel="00000000" w:rsidR="00000000" w:rsidRPr="00000000">
        <w:rPr>
          <w:rtl w:val="0"/>
        </w:rPr>
        <w:t xml:space="preserve">Clarify any liability caps or limitations in the final contract.</w:t>
      </w:r>
    </w:p>
    <w:p w:rsidR="00000000" w:rsidDel="00000000" w:rsidP="00000000" w:rsidRDefault="00000000" w:rsidRPr="00000000" w14:paraId="00000123">
      <w:pPr>
        <w:pStyle w:val="Heading3"/>
        <w:rPr>
          <w:b w:val="1"/>
          <w:color w:val="000000"/>
          <w:sz w:val="26"/>
          <w:szCs w:val="26"/>
        </w:rPr>
      </w:pPr>
      <w:bookmarkStart w:colFirst="0" w:colLast="0" w:name="_bjcjdycownig" w:id="46"/>
      <w:bookmarkEnd w:id="46"/>
      <w:r w:rsidDel="00000000" w:rsidR="00000000" w:rsidRPr="00000000">
        <w:rPr>
          <w:b w:val="1"/>
          <w:color w:val="000000"/>
          <w:sz w:val="26"/>
          <w:szCs w:val="26"/>
          <w:rtl w:val="0"/>
        </w:rPr>
        <w:t xml:space="preserve">9.3 Contract Duration, Renewals, and Termination</w:t>
      </w:r>
    </w:p>
    <w:p w:rsidR="00000000" w:rsidDel="00000000" w:rsidP="00000000" w:rsidRDefault="00000000" w:rsidRPr="00000000" w14:paraId="00000124">
      <w:pPr>
        <w:numPr>
          <w:ilvl w:val="0"/>
          <w:numId w:val="30"/>
        </w:numPr>
        <w:spacing w:before="200" w:lineRule="auto"/>
        <w:ind w:left="720" w:hanging="360"/>
        <w:rPr>
          <w:u w:val="none"/>
        </w:rPr>
      </w:pPr>
      <w:r w:rsidDel="00000000" w:rsidR="00000000" w:rsidRPr="00000000">
        <w:rPr>
          <w:rtl w:val="0"/>
        </w:rPr>
        <w:t xml:space="preserve">Proposed initial contract term (e.g., 1–3 years) with optional extensions or renewals, subject to CRA changes or expansions.  </w:t>
      </w:r>
    </w:p>
    <w:p w:rsidR="00000000" w:rsidDel="00000000" w:rsidP="00000000" w:rsidRDefault="00000000" w:rsidRPr="00000000" w14:paraId="00000125">
      <w:pPr>
        <w:numPr>
          <w:ilvl w:val="0"/>
          <w:numId w:val="30"/>
        </w:numPr>
        <w:ind w:left="720" w:hanging="360"/>
        <w:rPr>
          <w:u w:val="none"/>
        </w:rPr>
      </w:pPr>
      <w:r w:rsidDel="00000000" w:rsidR="00000000" w:rsidRPr="00000000">
        <w:rPr>
          <w:rtl w:val="0"/>
        </w:rPr>
        <w:t xml:space="preserve">Termination clauses for cause (significant SLA breaches, non-compliance with CRA obligations) or convenience.</w:t>
      </w:r>
    </w:p>
    <w:p w:rsidR="00000000" w:rsidDel="00000000" w:rsidP="00000000" w:rsidRDefault="00000000" w:rsidRPr="00000000" w14:paraId="00000126">
      <w:pPr>
        <w:pStyle w:val="Heading3"/>
        <w:rPr>
          <w:b w:val="1"/>
          <w:color w:val="000000"/>
          <w:sz w:val="26"/>
          <w:szCs w:val="26"/>
        </w:rPr>
      </w:pPr>
      <w:bookmarkStart w:colFirst="0" w:colLast="0" w:name="_j8szmp6k9ile"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7">
      <w:pPr>
        <w:numPr>
          <w:ilvl w:val="0"/>
          <w:numId w:val="20"/>
        </w:numPr>
        <w:spacing w:before="200" w:lineRule="auto"/>
        <w:ind w:left="720" w:hanging="360"/>
        <w:rPr>
          <w:u w:val="none"/>
        </w:rPr>
      </w:pPr>
      <w:r w:rsidDel="00000000" w:rsidR="00000000" w:rsidRPr="00000000">
        <w:rPr>
          <w:rtl w:val="0"/>
        </w:rPr>
        <w:t xml:space="preserve">Pre-existing IP remains with the vendor.  </w:t>
      </w:r>
    </w:p>
    <w:p w:rsidR="00000000" w:rsidDel="00000000" w:rsidP="00000000" w:rsidRDefault="00000000" w:rsidRPr="00000000" w14:paraId="00000128">
      <w:pPr>
        <w:numPr>
          <w:ilvl w:val="0"/>
          <w:numId w:val="20"/>
        </w:numPr>
        <w:ind w:left="720" w:hanging="360"/>
        <w:rPr>
          <w:u w:val="none"/>
        </w:rPr>
      </w:pPr>
      <w:r w:rsidDel="00000000" w:rsidR="00000000" w:rsidRPr="00000000">
        <w:rPr>
          <w:rtl w:val="0"/>
        </w:rPr>
        <w:t xml:space="preserve">Custom code or integrations for our environment: ownership or licensing terms must be clearly defined.</w:t>
      </w:r>
    </w:p>
    <w:p w:rsidR="00000000" w:rsidDel="00000000" w:rsidP="00000000" w:rsidRDefault="00000000" w:rsidRPr="00000000" w14:paraId="00000129">
      <w:pPr>
        <w:numPr>
          <w:ilvl w:val="0"/>
          <w:numId w:val="20"/>
        </w:numPr>
        <w:ind w:left="720" w:hanging="360"/>
        <w:rPr>
          <w:u w:val="none"/>
        </w:rPr>
      </w:pPr>
      <w:r w:rsidDel="00000000" w:rsidR="00000000" w:rsidRPr="00000000">
        <w:rPr>
          <w:rtl w:val="0"/>
        </w:rPr>
        <w:t xml:space="preserve">If the solution includes specialized device libraries or detection signatures, ensure usage rights remain valid throughout the contract.</w:t>
      </w:r>
    </w:p>
    <w:p w:rsidR="00000000" w:rsidDel="00000000" w:rsidP="00000000" w:rsidRDefault="00000000" w:rsidRPr="00000000" w14:paraId="0000012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pStyle w:val="Heading2"/>
        <w:rPr/>
      </w:pPr>
      <w:bookmarkStart w:colFirst="0" w:colLast="0" w:name="_ozqaq3wl1opx" w:id="48"/>
      <w:bookmarkEnd w:id="48"/>
      <w:r w:rsidDel="00000000" w:rsidR="00000000" w:rsidRPr="00000000">
        <w:rPr>
          <w:b w:val="1"/>
          <w:sz w:val="34"/>
          <w:szCs w:val="34"/>
          <w:rtl w:val="0"/>
        </w:rPr>
        <w:t xml:space="preserve">10. Appendices and Annexes (Optional)</w:t>
      </w:r>
      <w:r w:rsidDel="00000000" w:rsidR="00000000" w:rsidRPr="00000000">
        <w:rPr>
          <w:rtl w:val="0"/>
        </w:rPr>
      </w:r>
    </w:p>
    <w:p w:rsidR="00000000" w:rsidDel="00000000" w:rsidP="00000000" w:rsidRDefault="00000000" w:rsidRPr="00000000" w14:paraId="0000012C">
      <w:pPr>
        <w:numPr>
          <w:ilvl w:val="0"/>
          <w:numId w:val="37"/>
        </w:numPr>
        <w:spacing w:before="200" w:lineRule="auto"/>
        <w:ind w:left="720" w:hanging="360"/>
        <w:rPr>
          <w:u w:val="none"/>
        </w:rPr>
      </w:pPr>
      <w:r w:rsidDel="00000000" w:rsidR="00000000" w:rsidRPr="00000000">
        <w:rPr>
          <w:b w:val="1"/>
          <w:rtl w:val="0"/>
        </w:rPr>
        <w:t xml:space="preserve">CRA Requirements Crosswalk:</w:t>
      </w:r>
      <w:r w:rsidDel="00000000" w:rsidR="00000000" w:rsidRPr="00000000">
        <w:rPr>
          <w:rtl w:val="0"/>
        </w:rPr>
        <w:t xml:space="preserve"> Mapping the solution’s capabilities to specific CRA articles or enforcement guidelines.  </w:t>
      </w:r>
    </w:p>
    <w:p w:rsidR="00000000" w:rsidDel="00000000" w:rsidP="00000000" w:rsidRDefault="00000000" w:rsidRPr="00000000" w14:paraId="0000012D">
      <w:pPr>
        <w:numPr>
          <w:ilvl w:val="0"/>
          <w:numId w:val="37"/>
        </w:numPr>
        <w:ind w:left="720" w:hanging="360"/>
        <w:rPr>
          <w:u w:val="none"/>
        </w:rPr>
      </w:pPr>
      <w:r w:rsidDel="00000000" w:rsidR="00000000" w:rsidRPr="00000000">
        <w:rPr>
          <w:b w:val="1"/>
          <w:rtl w:val="0"/>
        </w:rPr>
        <w:t xml:space="preserve">Network and Asset Inventory: </w:t>
      </w:r>
      <w:r w:rsidDel="00000000" w:rsidR="00000000" w:rsidRPr="00000000">
        <w:rPr>
          <w:rtl w:val="0"/>
        </w:rPr>
        <w:t xml:space="preserve">High-level diagrams or known device categories for vendor scoping.  </w:t>
      </w:r>
    </w:p>
    <w:p w:rsidR="00000000" w:rsidDel="00000000" w:rsidP="00000000" w:rsidRDefault="00000000" w:rsidRPr="00000000" w14:paraId="0000012E">
      <w:pPr>
        <w:numPr>
          <w:ilvl w:val="0"/>
          <w:numId w:val="37"/>
        </w:numPr>
        <w:ind w:left="720" w:hanging="360"/>
        <w:rPr>
          <w:u w:val="none"/>
        </w:rPr>
      </w:pPr>
      <w:r w:rsidDel="00000000" w:rsidR="00000000" w:rsidRPr="00000000">
        <w:rPr>
          <w:b w:val="1"/>
          <w:rtl w:val="0"/>
        </w:rPr>
        <w:t xml:space="preserve">Sample Contract or MSA:</w:t>
      </w:r>
      <w:r w:rsidDel="00000000" w:rsidR="00000000" w:rsidRPr="00000000">
        <w:rPr>
          <w:rtl w:val="0"/>
        </w:rPr>
        <w:t xml:space="preserve"> If the organization requires standard legal terms as a baseline.  </w:t>
      </w:r>
    </w:p>
    <w:p w:rsidR="00000000" w:rsidDel="00000000" w:rsidP="00000000" w:rsidRDefault="00000000" w:rsidRPr="00000000" w14:paraId="0000012F">
      <w:pPr>
        <w:numPr>
          <w:ilvl w:val="0"/>
          <w:numId w:val="37"/>
        </w:numPr>
        <w:ind w:left="720" w:hanging="360"/>
        <w:rPr>
          <w:u w:val="none"/>
        </w:rPr>
      </w:pPr>
      <w:r w:rsidDel="00000000" w:rsidR="00000000" w:rsidRPr="00000000">
        <w:rPr>
          <w:b w:val="1"/>
          <w:rtl w:val="0"/>
        </w:rPr>
        <w:t xml:space="preserve">Data Protection Addendum (DPA):</w:t>
      </w:r>
      <w:r w:rsidDel="00000000" w:rsidR="00000000" w:rsidRPr="00000000">
        <w:rPr>
          <w:rtl w:val="0"/>
        </w:rPr>
        <w:t xml:space="preserve"> For ensuring consistent handling of personal data under GDPR.  </w:t>
      </w:r>
    </w:p>
    <w:p w:rsidR="00000000" w:rsidDel="00000000" w:rsidP="00000000" w:rsidRDefault="00000000" w:rsidRPr="00000000" w14:paraId="00000130">
      <w:pPr>
        <w:numPr>
          <w:ilvl w:val="0"/>
          <w:numId w:val="37"/>
        </w:numPr>
        <w:ind w:left="720" w:hanging="360"/>
        <w:rPr>
          <w:u w:val="none"/>
        </w:rPr>
      </w:pPr>
      <w:r w:rsidDel="00000000" w:rsidR="00000000" w:rsidRPr="00000000">
        <w:rPr>
          <w:b w:val="1"/>
          <w:rtl w:val="0"/>
        </w:rPr>
        <w:t xml:space="preserve">Policy Documents:</w:t>
      </w:r>
      <w:r w:rsidDel="00000000" w:rsidR="00000000" w:rsidRPr="00000000">
        <w:rPr>
          <w:rtl w:val="0"/>
        </w:rPr>
        <w:t xml:space="preserve"> Any existing cybersecurity or IoT governance frameworks relevant to the vendor’s scope.</w:t>
      </w:r>
    </w:p>
    <w:p w:rsidR="00000000" w:rsidDel="00000000" w:rsidP="00000000" w:rsidRDefault="00000000" w:rsidRPr="00000000" w14:paraId="0000013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pStyle w:val="Heading2"/>
        <w:rPr>
          <w:b w:val="1"/>
          <w:sz w:val="34"/>
          <w:szCs w:val="34"/>
        </w:rPr>
      </w:pPr>
      <w:bookmarkStart w:colFirst="0" w:colLast="0" w:name="_4neg0sgei1a7"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3">
      <w:pPr>
        <w:spacing w:before="200" w:lineRule="auto"/>
        <w:rPr/>
      </w:pPr>
      <w:r w:rsidDel="00000000" w:rsidR="00000000" w:rsidRPr="00000000">
        <w:rPr>
          <w:rtl w:val="0"/>
        </w:rPr>
        <w:t xml:space="preserve">By issuing this RFP, we intend to identify a comprehensive cybersecurity solution capable of meeting the EU Cyber Resilience Act (CRA) requirements. The successful vendor will provide agentless, real-time visibility, robust vulnerability management, incident response capabilities, and lifecycle security controls spanning design, deployment, and ongoing maintenance—thereby ensuring full compliance with the CRA while safeguarding our complex environment of IT, OT, IoT, and other connected devices.</w:t>
      </w:r>
    </w:p>
    <w:p w:rsidR="00000000" w:rsidDel="00000000" w:rsidP="00000000" w:rsidRDefault="00000000" w:rsidRPr="00000000" w14:paraId="00000134">
      <w:pPr>
        <w:spacing w:before="200" w:lineRule="auto"/>
        <w:rPr/>
      </w:pPr>
      <w:r w:rsidDel="00000000" w:rsidR="00000000" w:rsidRPr="00000000">
        <w:rPr>
          <w:rtl w:val="0"/>
        </w:rPr>
        <w:t xml:space="preserve">We welcome creative, future-ready proposals that demonstrate strong regulatory knowledge, powerful device classification and risk scoring, integrated patch workflows, and a proven track record of supporting multinational organizations under emerging EU cybersecurity laws. Ultimately, we aim to forge a long-term partnership that fosters continuous security innovation and operational resilience.</w:t>
      </w:r>
    </w:p>
    <w:p w:rsidR="00000000" w:rsidDel="00000000" w:rsidP="00000000" w:rsidRDefault="00000000" w:rsidRPr="00000000" w14:paraId="0000013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spacing w:before="200" w:lineRule="auto"/>
        <w:ind w:left="720" w:firstLine="0"/>
        <w:rPr/>
      </w:pPr>
      <w:r w:rsidDel="00000000" w:rsidR="00000000" w:rsidRPr="00000000">
        <w:rPr>
          <w:b w:val="1"/>
          <w:rtl w:val="0"/>
        </w:rPr>
        <w:t xml:space="preserve">Disclaimer: </w:t>
      </w:r>
      <w:r w:rsidDel="00000000" w:rsidR="00000000" w:rsidRPr="00000000">
        <w:rPr>
          <w:rtl w:val="0"/>
        </w:rPr>
        <w:t xml:space="preserve">This template is provided for guidance. Organizations should adapt each section to reflect their unique environment, contractual obligations, and risk appetite. Always consult with legal, compliance, and cybersecurity professionals prior to finalizing any RFP or contract under the Cyber Resilience Act.</w:t>
      </w:r>
    </w:p>
    <w:p w:rsidR="00000000" w:rsidDel="00000000" w:rsidP="00000000" w:rsidRDefault="00000000" w:rsidRPr="00000000" w14:paraId="000001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